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5" w:type="dxa"/>
        <w:tblInd w:w="107" w:type="dxa"/>
        <w:tblLayout w:type="fixed"/>
        <w:tblLook w:val="0000" w:firstRow="0" w:lastRow="0" w:firstColumn="0" w:lastColumn="0" w:noHBand="0" w:noVBand="0"/>
      </w:tblPr>
      <w:tblGrid>
        <w:gridCol w:w="3295"/>
        <w:gridCol w:w="5920"/>
      </w:tblGrid>
      <w:tr w:rsidR="00C81BEC" w:rsidRPr="00C81BEC" w:rsidTr="00B46FAC">
        <w:tc>
          <w:tcPr>
            <w:tcW w:w="3295" w:type="dxa"/>
          </w:tcPr>
          <w:p w:rsidR="007B64CC" w:rsidRPr="00C81BEC" w:rsidRDefault="007B64CC" w:rsidP="00C81BEC">
            <w:pPr>
              <w:spacing w:after="0"/>
              <w:jc w:val="center"/>
              <w:rPr>
                <w:b/>
                <w:bCs/>
                <w:sz w:val="26"/>
                <w:szCs w:val="26"/>
              </w:rPr>
            </w:pPr>
            <w:r w:rsidRPr="00C81BEC">
              <w:rPr>
                <w:b/>
                <w:bCs/>
                <w:sz w:val="26"/>
                <w:szCs w:val="26"/>
              </w:rPr>
              <w:t>ỦY BAN NHÂN DÂN</w:t>
            </w:r>
          </w:p>
          <w:p w:rsidR="007B64CC" w:rsidRPr="00C81BEC" w:rsidRDefault="003A095D" w:rsidP="00C81BEC">
            <w:pPr>
              <w:spacing w:after="0"/>
              <w:jc w:val="center"/>
              <w:rPr>
                <w:b/>
                <w:bCs/>
                <w:sz w:val="26"/>
                <w:szCs w:val="26"/>
              </w:rPr>
            </w:pPr>
            <w:r>
              <w:rPr>
                <w:noProof/>
              </w:rPr>
              <mc:AlternateContent>
                <mc:Choice Requires="wps">
                  <w:drawing>
                    <wp:anchor distT="4294967295" distB="4294967295" distL="114300" distR="114300" simplePos="0" relativeHeight="251657216" behindDoc="0" locked="0" layoutInCell="1" allowOverlap="1" wp14:anchorId="06F09385" wp14:editId="5657F802">
                      <wp:simplePos x="0" y="0"/>
                      <wp:positionH relativeFrom="column">
                        <wp:posOffset>665744</wp:posOffset>
                      </wp:positionH>
                      <wp:positionV relativeFrom="paragraph">
                        <wp:posOffset>212090</wp:posOffset>
                      </wp:positionV>
                      <wp:extent cx="619125" cy="0"/>
                      <wp:effectExtent l="0" t="0" r="952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B3B7B2" id="_x0000_t32" coordsize="21600,21600" o:spt="32" o:oned="t" path="m,l21600,21600e" filled="f">
                      <v:path arrowok="t" fillok="f" o:connecttype="none"/>
                      <o:lock v:ext="edit" shapetype="t"/>
                    </v:shapetype>
                    <v:shape id="Straight Arrow Connector 4" o:spid="_x0000_s1026" type="#_x0000_t32" style="position:absolute;margin-left:52.4pt;margin-top:16.7pt;width:48.7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"/>
                  </w:pict>
                </mc:Fallback>
              </mc:AlternateContent>
            </w:r>
            <w:r w:rsidR="007B64CC" w:rsidRPr="00C81BEC">
              <w:rPr>
                <w:b/>
                <w:bCs/>
                <w:sz w:val="26"/>
                <w:szCs w:val="26"/>
              </w:rPr>
              <w:t>TỈNH QUẢNG NGÃI</w:t>
            </w:r>
          </w:p>
          <w:p w:rsidR="007B64CC" w:rsidRPr="00C81BEC" w:rsidRDefault="007B64CC" w:rsidP="00C81BEC">
            <w:pPr>
              <w:spacing w:after="0"/>
              <w:jc w:val="center"/>
              <w:rPr>
                <w:sz w:val="10"/>
              </w:rPr>
            </w:pPr>
          </w:p>
        </w:tc>
        <w:tc>
          <w:tcPr>
            <w:tcW w:w="5920" w:type="dxa"/>
          </w:tcPr>
          <w:p w:rsidR="007B64CC" w:rsidRPr="00C81BEC" w:rsidRDefault="007B64CC" w:rsidP="00C81BEC">
            <w:pPr>
              <w:spacing w:after="0"/>
              <w:jc w:val="center"/>
              <w:rPr>
                <w:b/>
                <w:bCs/>
                <w:sz w:val="26"/>
                <w:szCs w:val="26"/>
              </w:rPr>
            </w:pPr>
            <w:r w:rsidRPr="00C81BEC">
              <w:rPr>
                <w:b/>
                <w:bCs/>
                <w:sz w:val="26"/>
                <w:szCs w:val="26"/>
              </w:rPr>
              <w:t>CỘNG HÒA XÃ HỘI CHỦ NGHĨA VIỆT NAM</w:t>
            </w:r>
          </w:p>
          <w:p w:rsidR="007B64CC" w:rsidRPr="00C81BEC" w:rsidRDefault="003A095D" w:rsidP="00C81BEC">
            <w:pPr>
              <w:spacing w:after="0"/>
              <w:jc w:val="center"/>
              <w:rPr>
                <w:b/>
                <w:bCs/>
              </w:rPr>
            </w:pPr>
            <w:r>
              <w:rPr>
                <w:noProof/>
              </w:rPr>
              <mc:AlternateContent>
                <mc:Choice Requires="wps">
                  <w:drawing>
                    <wp:anchor distT="4294967295" distB="4294967295" distL="114300" distR="114300" simplePos="0" relativeHeight="251658240" behindDoc="0" locked="0" layoutInCell="1" allowOverlap="1" wp14:anchorId="51BF364D" wp14:editId="2F92FD18">
                      <wp:simplePos x="0" y="0"/>
                      <wp:positionH relativeFrom="column">
                        <wp:posOffset>707390</wp:posOffset>
                      </wp:positionH>
                      <wp:positionV relativeFrom="paragraph">
                        <wp:posOffset>222780</wp:posOffset>
                      </wp:positionV>
                      <wp:extent cx="219075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98217" id="Straight Arrow Connector 3" o:spid="_x0000_s1026" type="#_x0000_t32" style="position:absolute;margin-left:55.7pt;margin-top:17.55pt;width:17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"/>
                  </w:pict>
                </mc:Fallback>
              </mc:AlternateContent>
            </w:r>
            <w:r w:rsidR="007B64CC" w:rsidRPr="00C81BEC">
              <w:rPr>
                <w:b/>
                <w:bCs/>
              </w:rPr>
              <w:t>Độc lập - Tự do - Hạnh phúc</w:t>
            </w:r>
          </w:p>
        </w:tc>
      </w:tr>
      <w:tr w:rsidR="00C81BEC" w:rsidRPr="00C81BEC" w:rsidTr="00614926">
        <w:tc>
          <w:tcPr>
            <w:tcW w:w="3295" w:type="dxa"/>
          </w:tcPr>
          <w:p w:rsidR="007B64CC" w:rsidRPr="00C81BEC" w:rsidRDefault="007B64CC" w:rsidP="00C81BEC">
            <w:pPr>
              <w:spacing w:after="0"/>
            </w:pPr>
            <w:r w:rsidRPr="00C81BEC">
              <w:rPr>
                <w:sz w:val="26"/>
                <w:szCs w:val="26"/>
              </w:rPr>
              <w:t xml:space="preserve">       Số:      </w:t>
            </w:r>
            <w:r w:rsidR="00B46FAC">
              <w:rPr>
                <w:sz w:val="26"/>
                <w:szCs w:val="26"/>
              </w:rPr>
              <w:t xml:space="preserve">   </w:t>
            </w:r>
            <w:r w:rsidRPr="00C81BEC">
              <w:rPr>
                <w:sz w:val="26"/>
                <w:szCs w:val="26"/>
              </w:rPr>
              <w:t xml:space="preserve">   /TTr-UBND</w:t>
            </w:r>
          </w:p>
        </w:tc>
        <w:tc>
          <w:tcPr>
            <w:tcW w:w="5920" w:type="dxa"/>
          </w:tcPr>
          <w:p w:rsidR="007B64CC" w:rsidRPr="00B46FAC" w:rsidRDefault="007B64CC" w:rsidP="00593B28">
            <w:pPr>
              <w:spacing w:after="0"/>
              <w:jc w:val="center"/>
              <w:rPr>
                <w:i/>
                <w:iCs/>
                <w:sz w:val="26"/>
                <w:szCs w:val="26"/>
              </w:rPr>
            </w:pPr>
            <w:r w:rsidRPr="00B46FAC">
              <w:rPr>
                <w:i/>
                <w:sz w:val="26"/>
                <w:szCs w:val="26"/>
              </w:rPr>
              <w:t xml:space="preserve">Quảng Ngãi, ngày       tháng </w:t>
            </w:r>
            <w:r w:rsidR="00593B28">
              <w:rPr>
                <w:i/>
                <w:sz w:val="26"/>
                <w:szCs w:val="26"/>
              </w:rPr>
              <w:t xml:space="preserve">  </w:t>
            </w:r>
            <w:r w:rsidRPr="00B46FAC">
              <w:rPr>
                <w:i/>
                <w:sz w:val="26"/>
                <w:szCs w:val="26"/>
              </w:rPr>
              <w:t xml:space="preserve"> năm 202</w:t>
            </w:r>
            <w:r w:rsidR="00856EDD" w:rsidRPr="00B46FAC">
              <w:rPr>
                <w:i/>
                <w:sz w:val="26"/>
                <w:szCs w:val="26"/>
              </w:rPr>
              <w:t>5</w:t>
            </w:r>
          </w:p>
        </w:tc>
      </w:tr>
    </w:tbl>
    <w:p w:rsidR="00E64066" w:rsidRPr="007F0404" w:rsidRDefault="006E588D" w:rsidP="007B64CC">
      <w:pPr>
        <w:spacing w:before="120" w:after="0" w:line="240" w:lineRule="auto"/>
        <w:jc w:val="center"/>
        <w:rPr>
          <w:b/>
          <w:bCs/>
          <w:sz w:val="2"/>
          <w:szCs w:val="26"/>
        </w:rPr>
      </w:pPr>
      <w:r>
        <w:rPr>
          <w:noProof/>
        </w:rPr>
        <mc:AlternateContent>
          <mc:Choice Requires="wps">
            <w:drawing>
              <wp:anchor distT="0" distB="0" distL="114300" distR="114300" simplePos="0" relativeHeight="251659264" behindDoc="0" locked="0" layoutInCell="1" allowOverlap="1" wp14:anchorId="1801CB56" wp14:editId="17E255B8">
                <wp:simplePos x="0" y="0"/>
                <wp:positionH relativeFrom="column">
                  <wp:posOffset>437515</wp:posOffset>
                </wp:positionH>
                <wp:positionV relativeFrom="paragraph">
                  <wp:posOffset>88265</wp:posOffset>
                </wp:positionV>
                <wp:extent cx="1016000" cy="345440"/>
                <wp:effectExtent l="0" t="0" r="12700"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5440"/>
                        </a:xfrm>
                        <a:prstGeom prst="rect">
                          <a:avLst/>
                        </a:prstGeom>
                        <a:solidFill>
                          <a:srgbClr val="FFFFFF"/>
                        </a:solidFill>
                        <a:ln w="9525">
                          <a:solidFill>
                            <a:srgbClr val="000000"/>
                          </a:solidFill>
                          <a:miter lim="800000"/>
                          <a:headEnd/>
                          <a:tailEnd/>
                        </a:ln>
                      </wps:spPr>
                      <wps:txbx>
                        <w:txbxContent>
                          <w:p w:rsidR="00D97120" w:rsidRPr="00F73E69" w:rsidRDefault="00D97120" w:rsidP="00D97120">
                            <w:pPr>
                              <w:spacing w:before="60"/>
                              <w:jc w:val="center"/>
                              <w:rPr>
                                <w:b/>
                                <w:sz w:val="26"/>
                                <w:szCs w:val="26"/>
                              </w:rPr>
                            </w:pPr>
                            <w:r w:rsidRPr="00F73E69">
                              <w:rPr>
                                <w:b/>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1CB56" id="_x0000_t202" coordsize="21600,21600" o:spt="202" path="m,l,21600r21600,l21600,xe">
                <v:stroke joinstyle="miter"/>
                <v:path gradientshapeok="t" o:connecttype="rect"/>
              </v:shapetype>
              <v:shape id="Text Box 2" o:spid="_x0000_s1026" type="#_x0000_t202" style="position:absolute;left:0;text-align:left;margin-left:34.45pt;margin-top:6.95pt;width:80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">
                <v:textbox>
                  <w:txbxContent>
                    <w:p w:rsidR="00D97120" w:rsidRPr="00F73E69" w:rsidRDefault="00D97120" w:rsidP="00D97120">
                      <w:pPr>
                        <w:spacing w:before="60"/>
                        <w:jc w:val="center"/>
                        <w:rPr>
                          <w:b/>
                          <w:sz w:val="26"/>
                          <w:szCs w:val="26"/>
                        </w:rPr>
                      </w:pPr>
                      <w:r w:rsidRPr="00F73E69">
                        <w:rPr>
                          <w:b/>
                          <w:sz w:val="26"/>
                          <w:szCs w:val="26"/>
                        </w:rPr>
                        <w:t>DỰ THẢO</w:t>
                      </w:r>
                    </w:p>
                  </w:txbxContent>
                </v:textbox>
              </v:shape>
            </w:pict>
          </mc:Fallback>
        </mc:AlternateContent>
      </w:r>
    </w:p>
    <w:p w:rsidR="007B64CC" w:rsidRPr="00E64066" w:rsidRDefault="00DA1FA6" w:rsidP="00DC5A95">
      <w:pPr>
        <w:spacing w:before="480" w:after="0" w:line="240" w:lineRule="auto"/>
        <w:jc w:val="center"/>
        <w:rPr>
          <w:b/>
          <w:bCs/>
          <w:szCs w:val="28"/>
        </w:rPr>
      </w:pPr>
      <w:r>
        <w:rPr>
          <w:b/>
          <w:bCs/>
          <w:szCs w:val="28"/>
        </w:rPr>
        <w:t>TỜ</w:t>
      </w:r>
      <w:r w:rsidR="007F0404">
        <w:rPr>
          <w:b/>
          <w:bCs/>
          <w:szCs w:val="28"/>
        </w:rPr>
        <w:t xml:space="preserve"> </w:t>
      </w:r>
      <w:r w:rsidR="007B64CC" w:rsidRPr="00E64066">
        <w:rPr>
          <w:b/>
          <w:bCs/>
          <w:szCs w:val="28"/>
        </w:rPr>
        <w:t>TRÌNH</w:t>
      </w:r>
    </w:p>
    <w:p w:rsidR="00614926" w:rsidRPr="00F86CF5" w:rsidRDefault="006830B4" w:rsidP="00614926">
      <w:pPr>
        <w:spacing w:after="0" w:line="240" w:lineRule="auto"/>
        <w:jc w:val="center"/>
        <w:rPr>
          <w:b/>
          <w:spacing w:val="-2"/>
          <w:szCs w:val="28"/>
          <w:lang w:val="pl-PL"/>
        </w:rPr>
      </w:pPr>
      <w:r>
        <w:rPr>
          <w:b/>
          <w:spacing w:val="-2"/>
          <w:szCs w:val="28"/>
        </w:rPr>
        <w:t>Dự thảo</w:t>
      </w:r>
      <w:r w:rsidR="00B05283">
        <w:rPr>
          <w:b/>
          <w:spacing w:val="-2"/>
          <w:szCs w:val="28"/>
        </w:rPr>
        <w:t xml:space="preserve"> Nghị quyết của HĐND tỉnh</w:t>
      </w:r>
      <w:r w:rsidR="00B05283" w:rsidRPr="00F86CF5">
        <w:rPr>
          <w:b/>
          <w:spacing w:val="-2"/>
          <w:szCs w:val="28"/>
        </w:rPr>
        <w:t xml:space="preserve"> </w:t>
      </w:r>
      <w:r w:rsidR="00800714" w:rsidRPr="00800714">
        <w:rPr>
          <w:b/>
          <w:spacing w:val="-2"/>
          <w:szCs w:val="28"/>
        </w:rPr>
        <w:t>quy định 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Quảng Ngãi</w:t>
      </w:r>
      <w:r w:rsidR="006E588D">
        <w:rPr>
          <w:b/>
          <w:spacing w:val="-2"/>
          <w:szCs w:val="28"/>
        </w:rPr>
        <w:t>.</w:t>
      </w:r>
    </w:p>
    <w:p w:rsidR="007B64CC" w:rsidRPr="00C81BEC" w:rsidRDefault="003A095D" w:rsidP="00DC5A95">
      <w:pPr>
        <w:spacing w:before="600" w:after="240" w:line="240" w:lineRule="auto"/>
        <w:ind w:firstLine="567"/>
        <w:jc w:val="center"/>
      </w:pPr>
      <w:r>
        <w:rPr>
          <w:noProof/>
        </w:rPr>
        <mc:AlternateContent>
          <mc:Choice Requires="wps">
            <w:drawing>
              <wp:anchor distT="4294967295" distB="4294967295" distL="114300" distR="114300" simplePos="0" relativeHeight="251656192" behindDoc="0" locked="0" layoutInCell="1" allowOverlap="1" wp14:anchorId="323E561D" wp14:editId="1C7A74F3">
                <wp:simplePos x="0" y="0"/>
                <wp:positionH relativeFrom="column">
                  <wp:posOffset>2359660</wp:posOffset>
                </wp:positionH>
                <wp:positionV relativeFrom="paragraph">
                  <wp:posOffset>14935</wp:posOffset>
                </wp:positionV>
                <wp:extent cx="9525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04BFA" id="Straight Connector 1"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8pt,1.2pt" to="26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"/>
            </w:pict>
          </mc:Fallback>
        </mc:AlternateContent>
      </w:r>
      <w:r w:rsidR="007B64CC" w:rsidRPr="00C81BEC">
        <w:t xml:space="preserve">   Kính gửi: Hội đồng nhân dân tỉ</w:t>
      </w:r>
      <w:r w:rsidR="00B46FAC">
        <w:t>nh</w:t>
      </w:r>
      <w:r w:rsidR="007B64CC" w:rsidRPr="00C81BEC">
        <w:t xml:space="preserve"> </w:t>
      </w:r>
    </w:p>
    <w:p w:rsidR="00B62D70" w:rsidRPr="00164F17" w:rsidRDefault="00B62D70" w:rsidP="00B62D70">
      <w:pPr>
        <w:spacing w:before="60" w:after="120" w:line="240" w:lineRule="auto"/>
        <w:ind w:firstLine="709"/>
        <w:jc w:val="both"/>
        <w:rPr>
          <w:rFonts w:eastAsia="Times New Roman"/>
          <w:i/>
          <w:iCs/>
          <w:szCs w:val="28"/>
          <w:lang w:eastAsia="vi-VN"/>
        </w:rPr>
      </w:pPr>
      <w:r w:rsidRPr="00164F17">
        <w:rPr>
          <w:rFonts w:eastAsia="Times New Roman"/>
          <w:i/>
          <w:iCs/>
          <w:szCs w:val="28"/>
          <w:lang w:eastAsia="vi-VN"/>
        </w:rPr>
        <w:t>Căn cứ Luật Tổ chức chính quyền địa phương số 72/2025/QH15;</w:t>
      </w:r>
    </w:p>
    <w:p w:rsidR="00B62D70" w:rsidRPr="00164F17" w:rsidRDefault="00B62D70" w:rsidP="00B62D70">
      <w:pPr>
        <w:spacing w:before="60" w:after="120" w:line="240" w:lineRule="auto"/>
        <w:ind w:firstLine="709"/>
        <w:jc w:val="both"/>
        <w:rPr>
          <w:rFonts w:eastAsia="Times New Roman"/>
          <w:i/>
          <w:szCs w:val="20"/>
        </w:rPr>
      </w:pPr>
      <w:r w:rsidRPr="00164F17">
        <w:rPr>
          <w:rFonts w:eastAsia="Times New Roman"/>
          <w:i/>
          <w:iCs/>
          <w:szCs w:val="28"/>
          <w:lang w:eastAsia="vi-VN"/>
        </w:rPr>
        <w:t xml:space="preserve">Căn cứ Luật Ngân sách nhà nước số 83/2015/QH13; </w:t>
      </w:r>
      <w:hyperlink r:id="rId8" w:tgtFrame="_blank" w:history="1">
        <w:r w:rsidRPr="00164F17">
          <w:rPr>
            <w:rFonts w:eastAsia="Times New Roman"/>
            <w:i/>
            <w:szCs w:val="20"/>
          </w:rPr>
          <w:t>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hyperlink>
      <w:r w:rsidRPr="00164F17">
        <w:rPr>
          <w:rFonts w:eastAsia="Times New Roman"/>
          <w:i/>
          <w:szCs w:val="20"/>
        </w:rPr>
        <w:t xml:space="preserve"> số </w:t>
      </w:r>
      <w:r w:rsidRPr="00164F17">
        <w:rPr>
          <w:rFonts w:eastAsia="Times New Roman"/>
          <w:i/>
          <w:color w:val="000000"/>
          <w:szCs w:val="28"/>
          <w:shd w:val="clear" w:color="auto" w:fill="FFFFFF"/>
        </w:rPr>
        <w:t>56/2024/QH15</w:t>
      </w:r>
      <w:r w:rsidRPr="00164F17">
        <w:rPr>
          <w:rFonts w:eastAsia="Times New Roman"/>
          <w:i/>
          <w:szCs w:val="20"/>
        </w:rPr>
        <w:t>;</w:t>
      </w:r>
    </w:p>
    <w:p w:rsidR="006830B4" w:rsidRPr="00B62D70" w:rsidRDefault="006830B4" w:rsidP="006830B4">
      <w:pPr>
        <w:spacing w:before="120" w:after="0" w:line="240" w:lineRule="auto"/>
        <w:ind w:firstLine="567"/>
        <w:jc w:val="both"/>
        <w:rPr>
          <w:i/>
        </w:rPr>
      </w:pPr>
      <w:r w:rsidRPr="00B62D70">
        <w:rPr>
          <w:i/>
        </w:rPr>
        <w:t>Căn cứ Luật Ban hành văn bản quy phạm pháp luật số 64/2025/QH15 được sửa đổi, bổ sung bởi Luật số 87/2025/QH15;</w:t>
      </w:r>
    </w:p>
    <w:p w:rsidR="006E588D" w:rsidRPr="00B62D70" w:rsidRDefault="006E588D" w:rsidP="006830B4">
      <w:pPr>
        <w:shd w:val="clear" w:color="auto" w:fill="FFFFFF"/>
        <w:spacing w:before="120" w:after="0" w:line="240" w:lineRule="auto"/>
        <w:ind w:firstLine="567"/>
        <w:jc w:val="both"/>
        <w:rPr>
          <w:rFonts w:eastAsia="Times New Roman"/>
          <w:i/>
          <w:szCs w:val="28"/>
        </w:rPr>
      </w:pPr>
      <w:r w:rsidRPr="00B62D70">
        <w:rPr>
          <w:rFonts w:eastAsia="Times New Roman"/>
          <w:i/>
          <w:iCs/>
          <w:szCs w:val="28"/>
        </w:rPr>
        <w:t>Căn cứ Nghị định số </w:t>
      </w:r>
      <w:bookmarkStart w:id="0" w:name="tvpllink_ytkonckjtn"/>
      <w:r w:rsidRPr="00B62D70">
        <w:rPr>
          <w:rFonts w:eastAsia="Times New Roman"/>
          <w:i/>
          <w:iCs/>
          <w:szCs w:val="28"/>
        </w:rPr>
        <w:fldChar w:fldCharType="begin"/>
      </w:r>
      <w:r w:rsidRPr="00B62D70">
        <w:rPr>
          <w:rFonts w:eastAsia="Times New Roman"/>
          <w:i/>
          <w:iCs/>
          <w:szCs w:val="28"/>
        </w:rPr>
        <w:instrText xml:space="preserve"> HYPERLINK "https://thuvienphapluat.vn/van-ban/Tien-te-Ngan-hang/Nghi-dinh-78-2002-ND-CP-tin-dung-nguoi-ngheo-doi-tuong-chinh-sach-khac-50057.aspx" \t "_blank" </w:instrText>
      </w:r>
      <w:r w:rsidRPr="00B62D70">
        <w:rPr>
          <w:rFonts w:eastAsia="Times New Roman"/>
          <w:i/>
          <w:iCs/>
          <w:szCs w:val="28"/>
        </w:rPr>
        <w:fldChar w:fldCharType="separate"/>
      </w:r>
      <w:r w:rsidRPr="00B62D70">
        <w:rPr>
          <w:rFonts w:eastAsia="Times New Roman"/>
          <w:i/>
          <w:iCs/>
          <w:szCs w:val="28"/>
        </w:rPr>
        <w:t>78/2002/NĐ-CP</w:t>
      </w:r>
      <w:r w:rsidRPr="00B62D70">
        <w:rPr>
          <w:rFonts w:eastAsia="Times New Roman"/>
          <w:i/>
          <w:iCs/>
          <w:szCs w:val="28"/>
        </w:rPr>
        <w:fldChar w:fldCharType="end"/>
      </w:r>
      <w:bookmarkEnd w:id="0"/>
      <w:r w:rsidRPr="00B62D70">
        <w:rPr>
          <w:rFonts w:eastAsia="Times New Roman"/>
          <w:i/>
          <w:iCs/>
          <w:szCs w:val="28"/>
        </w:rPr>
        <w:t> ngày 04 tháng 10 năm 2002 của Chính phủ về tín dụng đối với người nghèo và các đối tượng chính sách khác;</w:t>
      </w:r>
    </w:p>
    <w:p w:rsidR="008E2C4D" w:rsidRDefault="006E588D" w:rsidP="006830B4">
      <w:pPr>
        <w:spacing w:before="120" w:after="0" w:line="240" w:lineRule="auto"/>
        <w:ind w:firstLine="567"/>
        <w:jc w:val="both"/>
        <w:rPr>
          <w:bCs/>
          <w:szCs w:val="28"/>
        </w:rPr>
      </w:pPr>
      <w:r w:rsidRPr="00B62D70">
        <w:rPr>
          <w:rFonts w:eastAsia="Times New Roman"/>
          <w:i/>
          <w:iCs/>
          <w:szCs w:val="28"/>
        </w:rPr>
        <w:t>Căn cứ Thông tư số 84/2025/TT-BTC ngày 19 tháng 8 năm 2025 của Bộ trưởng Bộ Tài chính về việc sửa đổi, bổ sung một số điều của Thông tư số 11/2017/TT-BTC ngày 08 tháng 02 năm 2017 của Bộ Tài chính quy định về quản lý và sử dụng nguồn vốn ngân sách địa phương ủy thác qua ngân hàng chính sách xã hội để cho vay đối với người nghèo và các đối tượng chính sách khác</w:t>
      </w:r>
      <w:r w:rsidR="00BA1DA1" w:rsidRPr="00B62D70">
        <w:rPr>
          <w:rFonts w:eastAsia="Times New Roman"/>
          <w:i/>
          <w:iCs/>
          <w:szCs w:val="28"/>
        </w:rPr>
        <w:t>.</w:t>
      </w:r>
      <w:r w:rsidR="00BA1DA1" w:rsidRPr="00BA1DA1">
        <w:rPr>
          <w:bCs/>
          <w:szCs w:val="28"/>
        </w:rPr>
        <w:t xml:space="preserve"> </w:t>
      </w:r>
    </w:p>
    <w:p w:rsidR="00E115CD" w:rsidRPr="00223C1B" w:rsidRDefault="00E115CD" w:rsidP="00E115CD">
      <w:pPr>
        <w:spacing w:before="120" w:after="120" w:line="240" w:lineRule="auto"/>
        <w:ind w:firstLine="567"/>
        <w:jc w:val="both"/>
        <w:rPr>
          <w:i/>
          <w:color w:val="000000"/>
          <w:szCs w:val="28"/>
          <w:shd w:val="clear" w:color="auto" w:fill="FFFFFF"/>
          <w:lang w:val="de-DE"/>
        </w:rPr>
      </w:pPr>
      <w:r>
        <w:rPr>
          <w:bCs/>
          <w:szCs w:val="28"/>
        </w:rPr>
        <w:t>Trên cơ sở đề xuất của Sở Tài chính tại Tờ trình số     /TTr-STC ngày   /</w:t>
      </w:r>
      <w:r w:rsidR="00C2209A">
        <w:rPr>
          <w:bCs/>
          <w:szCs w:val="28"/>
        </w:rPr>
        <w:t>10</w:t>
      </w:r>
      <w:r>
        <w:rPr>
          <w:bCs/>
          <w:szCs w:val="28"/>
        </w:rPr>
        <w:t xml:space="preserve">/2025; ý kiến thống nhất của các thành viên Ủy ban nhân dân tỉnh, Ủy ban nhân dân tỉnh </w:t>
      </w:r>
      <w:r w:rsidR="006830B4">
        <w:rPr>
          <w:bCs/>
          <w:szCs w:val="28"/>
        </w:rPr>
        <w:t>kính trình</w:t>
      </w:r>
      <w:r>
        <w:rPr>
          <w:bCs/>
          <w:szCs w:val="28"/>
        </w:rPr>
        <w:t xml:space="preserve"> Hội đồng nhân dân </w:t>
      </w:r>
      <w:r w:rsidRPr="001134AE">
        <w:rPr>
          <w:spacing w:val="-2"/>
          <w:szCs w:val="28"/>
        </w:rPr>
        <w:t xml:space="preserve">tỉnh </w:t>
      </w:r>
      <w:r w:rsidR="006830B4">
        <w:rPr>
          <w:spacing w:val="-2"/>
          <w:szCs w:val="28"/>
        </w:rPr>
        <w:t xml:space="preserve">ban hành Nghị quyết </w:t>
      </w:r>
      <w:r w:rsidR="00800714" w:rsidRPr="00800714">
        <w:rPr>
          <w:bCs/>
          <w:szCs w:val="28"/>
        </w:rPr>
        <w:t>quy định 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Quảng Ngãi</w:t>
      </w:r>
      <w:r>
        <w:rPr>
          <w:bCs/>
          <w:szCs w:val="28"/>
        </w:rPr>
        <w:t>, cụ thể</w:t>
      </w:r>
      <w:r w:rsidRPr="002C7E23">
        <w:rPr>
          <w:bCs/>
          <w:szCs w:val="28"/>
        </w:rPr>
        <w:t xml:space="preserve"> như sau:</w:t>
      </w:r>
    </w:p>
    <w:p w:rsidR="00614926" w:rsidRPr="00094AD0" w:rsidRDefault="006E588D" w:rsidP="006E588D">
      <w:pPr>
        <w:pStyle w:val="ListParagraph"/>
        <w:spacing w:before="100" w:after="100" w:line="240" w:lineRule="auto"/>
        <w:ind w:left="567"/>
        <w:contextualSpacing w:val="0"/>
        <w:jc w:val="both"/>
        <w:rPr>
          <w:b/>
          <w:szCs w:val="28"/>
          <w:lang w:val="pl-PL"/>
        </w:rPr>
      </w:pPr>
      <w:r>
        <w:rPr>
          <w:b/>
          <w:szCs w:val="28"/>
          <w:lang w:val="pl-PL"/>
        </w:rPr>
        <w:t xml:space="preserve">I. </w:t>
      </w:r>
      <w:r w:rsidR="00614926" w:rsidRPr="00094AD0">
        <w:rPr>
          <w:b/>
          <w:szCs w:val="28"/>
          <w:lang w:val="pl-PL"/>
        </w:rPr>
        <w:t>SỰ CẦN THIẾT BAN HÀNH NGHỊ QUYẾT</w:t>
      </w:r>
    </w:p>
    <w:p w:rsidR="00E115CD" w:rsidRPr="00E115CD" w:rsidRDefault="00E115CD" w:rsidP="00E115CD">
      <w:pPr>
        <w:ind w:firstLine="567"/>
        <w:jc w:val="both"/>
        <w:rPr>
          <w:i/>
        </w:rPr>
      </w:pPr>
      <w:r>
        <w:rPr>
          <w:lang w:val="pl-PL"/>
        </w:rPr>
        <w:t xml:space="preserve">Tại khoản 3, khoản 5 Điều 1 </w:t>
      </w:r>
      <w:r w:rsidR="006E588D" w:rsidRPr="0024515D">
        <w:rPr>
          <w:lang w:val="pl-PL"/>
        </w:rPr>
        <w:t xml:space="preserve">Thông tư số 84/2025/TT-BTC </w:t>
      </w:r>
      <w:r>
        <w:rPr>
          <w:lang w:val="pl-PL"/>
        </w:rPr>
        <w:t>n</w:t>
      </w:r>
      <w:r w:rsidRPr="0024515D">
        <w:rPr>
          <w:lang w:val="pl-PL"/>
        </w:rPr>
        <w:t xml:space="preserve">gày 19 tháng 8 năm 2025 </w:t>
      </w:r>
      <w:r>
        <w:rPr>
          <w:lang w:val="pl-PL"/>
        </w:rPr>
        <w:t xml:space="preserve">của Bộ trưởng </w:t>
      </w:r>
      <w:r w:rsidRPr="0024515D">
        <w:rPr>
          <w:lang w:val="pl-PL"/>
        </w:rPr>
        <w:t xml:space="preserve">Bộ Tài chính </w:t>
      </w:r>
      <w:r w:rsidR="006E588D" w:rsidRPr="0024515D">
        <w:rPr>
          <w:lang w:val="pl-PL"/>
        </w:rPr>
        <w:t xml:space="preserve">về việc sửa đổi, bổ sung một số điều của Thông tư số 11/2017/TT-BTC ngày 08 tháng 02 năm 2017 của Bộ Tài chính quy định về quản lý và sử dụng nguồn vốn ngân sách địa phương ủy thác qua ngân </w:t>
      </w:r>
      <w:r w:rsidR="006E588D" w:rsidRPr="0024515D">
        <w:rPr>
          <w:lang w:val="pl-PL"/>
        </w:rPr>
        <w:lastRenderedPageBreak/>
        <w:t>hàng chính sách xã hội để cho vay đối với người nghèo và các đối tượng chính sách khác</w:t>
      </w:r>
      <w:r>
        <w:rPr>
          <w:lang w:val="pl-PL"/>
        </w:rPr>
        <w:t xml:space="preserve">: </w:t>
      </w:r>
      <w:r w:rsidRPr="00E115CD">
        <w:rPr>
          <w:i/>
          <w:color w:val="000000"/>
          <w:szCs w:val="28"/>
          <w:shd w:val="clear" w:color="auto" w:fill="FFFFFF"/>
          <w:lang w:val="de-DE"/>
        </w:rPr>
        <w:t>“</w:t>
      </w:r>
      <w:r w:rsidR="006E588D" w:rsidRPr="00E115CD">
        <w:rPr>
          <w:i/>
          <w:lang w:val="pl-PL"/>
        </w:rPr>
        <w:t>mức cho vay, thời hạn cho vay, lãi suất cho vay và các khoản nợ bị rủi ro ngoài phạm vi đối tượng và nguyên nhân khách quan được xem xét xử lý rủi ro theo quy định của Thủ tướng Chính phủ do Hội đồng nhân dân cấp tỉnh quy định</w:t>
      </w:r>
      <w:r w:rsidRPr="00E115CD">
        <w:rPr>
          <w:i/>
          <w:color w:val="000000"/>
          <w:szCs w:val="28"/>
          <w:shd w:val="clear" w:color="auto" w:fill="FFFFFF"/>
          <w:lang w:val="de-DE"/>
        </w:rPr>
        <w:t>”.</w:t>
      </w:r>
    </w:p>
    <w:p w:rsidR="006E588D" w:rsidRDefault="006E588D" w:rsidP="006E588D">
      <w:pPr>
        <w:spacing w:before="120" w:after="120" w:line="240" w:lineRule="auto"/>
        <w:ind w:firstLine="567"/>
        <w:jc w:val="both"/>
        <w:rPr>
          <w:b/>
          <w:szCs w:val="28"/>
        </w:rPr>
      </w:pPr>
      <w:r>
        <w:rPr>
          <w:lang w:val="pl-PL"/>
        </w:rPr>
        <w:t xml:space="preserve">Căn cứ quy định nêu trên thì việc </w:t>
      </w:r>
      <w:r w:rsidR="006830B4">
        <w:rPr>
          <w:lang w:val="pl-PL"/>
        </w:rPr>
        <w:t>đề nghị</w:t>
      </w:r>
      <w:r>
        <w:rPr>
          <w:lang w:val="pl-PL"/>
        </w:rPr>
        <w:t xml:space="preserve"> Hội đồng nhân dân tỉnh ban hành Nghị quyết </w:t>
      </w:r>
      <w:r w:rsidR="00800714" w:rsidRPr="00800714">
        <w:rPr>
          <w:lang w:val="pl-PL"/>
        </w:rPr>
        <w:t>quy định 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Quảng Ngãi</w:t>
      </w:r>
      <w:r>
        <w:rPr>
          <w:lang w:val="pl-PL"/>
        </w:rPr>
        <w:t xml:space="preserve"> là cần thiết, </w:t>
      </w:r>
      <w:r w:rsidRPr="00094AD0">
        <w:rPr>
          <w:lang w:val="nl-NL"/>
        </w:rPr>
        <w:t>phù hợp với quy định pháp luật.</w:t>
      </w:r>
    </w:p>
    <w:p w:rsidR="006E588D" w:rsidRDefault="006E588D" w:rsidP="006E588D">
      <w:pPr>
        <w:spacing w:before="120" w:after="120" w:line="240" w:lineRule="auto"/>
        <w:ind w:firstLine="567"/>
        <w:jc w:val="both"/>
        <w:rPr>
          <w:b/>
          <w:szCs w:val="28"/>
        </w:rPr>
      </w:pPr>
      <w:r>
        <w:rPr>
          <w:b/>
          <w:szCs w:val="28"/>
        </w:rPr>
        <w:t>II</w:t>
      </w:r>
      <w:r w:rsidRPr="00D56FFD">
        <w:rPr>
          <w:b/>
          <w:szCs w:val="28"/>
        </w:rPr>
        <w:t xml:space="preserve">. </w:t>
      </w:r>
      <w:r>
        <w:rPr>
          <w:b/>
          <w:szCs w:val="28"/>
        </w:rPr>
        <w:t>MỤC ĐÍCH, QUAN ĐIỂM XÂY DỰNG NGHỊ QUYẾT</w:t>
      </w:r>
    </w:p>
    <w:p w:rsidR="006E588D" w:rsidRPr="00F95F11" w:rsidRDefault="006E588D" w:rsidP="006E588D">
      <w:pPr>
        <w:spacing w:before="120" w:after="120" w:line="240" w:lineRule="auto"/>
        <w:ind w:firstLine="567"/>
        <w:jc w:val="both"/>
        <w:rPr>
          <w:b/>
          <w:lang w:val="pl-PL"/>
        </w:rPr>
      </w:pPr>
      <w:r w:rsidRPr="00F95F11">
        <w:rPr>
          <w:b/>
        </w:rPr>
        <w:t>1. Mục đích:</w:t>
      </w:r>
      <w:r w:rsidRPr="00F95F11">
        <w:rPr>
          <w:b/>
          <w:lang w:val="pl-PL"/>
        </w:rPr>
        <w:tab/>
        <w:t xml:space="preserve"> </w:t>
      </w:r>
    </w:p>
    <w:p w:rsidR="006E588D" w:rsidRPr="005C215B" w:rsidRDefault="006E588D" w:rsidP="006E588D">
      <w:pPr>
        <w:spacing w:before="120" w:after="120" w:line="240" w:lineRule="auto"/>
        <w:ind w:firstLine="567"/>
        <w:jc w:val="both"/>
        <w:rPr>
          <w:lang w:val="pl-PL"/>
        </w:rPr>
      </w:pPr>
      <w:r>
        <w:rPr>
          <w:color w:val="000000"/>
          <w:szCs w:val="28"/>
        </w:rPr>
        <w:t>Q</w:t>
      </w:r>
      <w:r w:rsidRPr="00B14C8D">
        <w:rPr>
          <w:color w:val="000000"/>
          <w:szCs w:val="28"/>
        </w:rPr>
        <w:t xml:space="preserve">uy định </w:t>
      </w:r>
      <w:r w:rsidR="00800714" w:rsidRPr="00800714">
        <w:rPr>
          <w:color w:val="000000"/>
          <w:szCs w:val="28"/>
        </w:rPr>
        <w:t>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Quảng Ngãi</w:t>
      </w:r>
      <w:r w:rsidRPr="00713BFD">
        <w:rPr>
          <w:bCs/>
          <w:szCs w:val="28"/>
        </w:rPr>
        <w:t>.</w:t>
      </w:r>
    </w:p>
    <w:p w:rsidR="006E588D" w:rsidRDefault="006E588D" w:rsidP="006E588D">
      <w:pPr>
        <w:spacing w:before="120" w:after="120" w:line="240" w:lineRule="auto"/>
        <w:ind w:firstLine="567"/>
        <w:jc w:val="both"/>
        <w:rPr>
          <w:b/>
          <w:lang w:val="pl-PL"/>
        </w:rPr>
      </w:pPr>
      <w:r w:rsidRPr="00F95F11">
        <w:rPr>
          <w:b/>
          <w:lang w:val="pl-PL"/>
        </w:rPr>
        <w:t xml:space="preserve">2. Quan điểm: </w:t>
      </w:r>
    </w:p>
    <w:p w:rsidR="006E588D" w:rsidRDefault="006E588D" w:rsidP="006E588D">
      <w:pPr>
        <w:spacing w:before="120" w:after="120" w:line="240" w:lineRule="auto"/>
        <w:ind w:firstLine="567"/>
        <w:jc w:val="both"/>
        <w:rPr>
          <w:szCs w:val="28"/>
        </w:rPr>
      </w:pPr>
      <w:r>
        <w:rPr>
          <w:szCs w:val="28"/>
        </w:rPr>
        <w:t>Đảm</w:t>
      </w:r>
      <w:r w:rsidRPr="00083907">
        <w:rPr>
          <w:szCs w:val="28"/>
        </w:rPr>
        <w:t xml:space="preserve"> bảo yêu cầu về tính hợp hiến, hợp pháp, tuân thủ đúng thẩm quyền, hình thức, trình tự thủ tục xây dựng, ban hành văn bản quy phạm pháp luật.</w:t>
      </w:r>
    </w:p>
    <w:p w:rsidR="006E588D" w:rsidRDefault="006E588D" w:rsidP="006E588D">
      <w:pPr>
        <w:spacing w:before="120" w:after="120" w:line="240" w:lineRule="auto"/>
        <w:ind w:firstLine="567"/>
        <w:jc w:val="both"/>
        <w:rPr>
          <w:b/>
          <w:szCs w:val="28"/>
        </w:rPr>
      </w:pPr>
      <w:r w:rsidRPr="003366D8">
        <w:rPr>
          <w:b/>
          <w:szCs w:val="28"/>
        </w:rPr>
        <w:t xml:space="preserve">III. </w:t>
      </w:r>
      <w:r w:rsidRPr="003E1D59">
        <w:rPr>
          <w:b/>
          <w:szCs w:val="28"/>
        </w:rPr>
        <w:t>PHẠM VI ĐIỀU CHỈNH, ĐỐI TƯỢNG ÁP DỤNG CỦA DỰ THẢO NGHỊ QUYẾT</w:t>
      </w:r>
    </w:p>
    <w:p w:rsidR="006E588D" w:rsidRDefault="006E588D" w:rsidP="006E588D">
      <w:pPr>
        <w:spacing w:before="120" w:after="120" w:line="240" w:lineRule="auto"/>
        <w:ind w:firstLine="567"/>
        <w:jc w:val="both"/>
        <w:rPr>
          <w:b/>
          <w:szCs w:val="28"/>
        </w:rPr>
      </w:pPr>
      <w:r w:rsidRPr="003E1D59">
        <w:rPr>
          <w:b/>
          <w:szCs w:val="28"/>
        </w:rPr>
        <w:t>1. Phạm vi điều chỉnh:</w:t>
      </w:r>
    </w:p>
    <w:p w:rsidR="006E588D" w:rsidRDefault="006E588D" w:rsidP="006E588D">
      <w:pPr>
        <w:pStyle w:val="NormalWeb"/>
        <w:shd w:val="clear" w:color="auto" w:fill="FFFFFF"/>
        <w:spacing w:before="120" w:beforeAutospacing="0" w:after="120" w:afterAutospacing="0"/>
        <w:ind w:firstLine="567"/>
        <w:jc w:val="both"/>
        <w:rPr>
          <w:rFonts w:eastAsia="Calibri"/>
          <w:sz w:val="28"/>
          <w:szCs w:val="28"/>
          <w:lang w:val="pt-BR"/>
        </w:rPr>
      </w:pPr>
      <w:r>
        <w:rPr>
          <w:rFonts w:eastAsia="Calibri"/>
          <w:sz w:val="28"/>
          <w:szCs w:val="28"/>
          <w:lang w:val="pt-BR"/>
        </w:rPr>
        <w:t>Q</w:t>
      </w:r>
      <w:r w:rsidRPr="00713BFD">
        <w:rPr>
          <w:rFonts w:eastAsia="Calibri"/>
          <w:sz w:val="28"/>
          <w:szCs w:val="28"/>
          <w:lang w:val="pt-BR"/>
        </w:rPr>
        <w:t xml:space="preserve">uy định </w:t>
      </w:r>
      <w:r w:rsidR="00800714" w:rsidRPr="00800714">
        <w:rPr>
          <w:rFonts w:eastAsia="Calibri"/>
          <w:sz w:val="28"/>
          <w:szCs w:val="28"/>
          <w:lang w:val="pt-BR"/>
        </w:rPr>
        <w:t>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Quảng Ngãi</w:t>
      </w:r>
      <w:r>
        <w:rPr>
          <w:rFonts w:eastAsia="Calibri"/>
          <w:sz w:val="28"/>
          <w:szCs w:val="28"/>
          <w:lang w:val="pt-BR"/>
        </w:rPr>
        <w:t>.</w:t>
      </w:r>
      <w:r w:rsidRPr="00713BFD">
        <w:rPr>
          <w:rFonts w:eastAsia="Calibri"/>
          <w:sz w:val="28"/>
          <w:szCs w:val="28"/>
          <w:lang w:val="pt-BR"/>
        </w:rPr>
        <w:t xml:space="preserve"> </w:t>
      </w:r>
    </w:p>
    <w:p w:rsidR="006E588D" w:rsidRPr="00684095" w:rsidRDefault="006E588D" w:rsidP="006830B4">
      <w:pPr>
        <w:pStyle w:val="NormalWeb"/>
        <w:shd w:val="clear" w:color="auto" w:fill="FFFFFF"/>
        <w:spacing w:before="120" w:beforeAutospacing="0" w:after="120" w:afterAutospacing="0"/>
        <w:ind w:firstLine="567"/>
        <w:jc w:val="both"/>
        <w:rPr>
          <w:rFonts w:eastAsia="Calibri"/>
          <w:b/>
          <w:sz w:val="28"/>
          <w:szCs w:val="28"/>
          <w:lang w:val="pt-BR"/>
        </w:rPr>
      </w:pPr>
      <w:r w:rsidRPr="00684095">
        <w:rPr>
          <w:rFonts w:eastAsia="Calibri"/>
          <w:b/>
          <w:sz w:val="28"/>
          <w:szCs w:val="28"/>
          <w:lang w:val="pt-BR"/>
        </w:rPr>
        <w:t>2. Đối tượng áp dụng:</w:t>
      </w:r>
    </w:p>
    <w:p w:rsidR="006E588D" w:rsidRPr="004F2F84" w:rsidRDefault="006E588D" w:rsidP="006830B4">
      <w:pPr>
        <w:spacing w:before="120" w:after="60"/>
        <w:ind w:firstLine="567"/>
        <w:jc w:val="both"/>
      </w:pPr>
      <w:bookmarkStart w:id="1" w:name="_Hlk187418769"/>
      <w:bookmarkStart w:id="2" w:name="_Hlk187419849"/>
      <w:r w:rsidRPr="004F2F84">
        <w:t xml:space="preserve">a) </w:t>
      </w:r>
      <w:r w:rsidRPr="004F2F84">
        <w:rPr>
          <w:bCs/>
          <w:lang w:eastAsia="vi-VN"/>
        </w:rPr>
        <w:t>Các Sở, ban, ngành có liên quan</w:t>
      </w:r>
      <w:r w:rsidRPr="004F2F84">
        <w:t xml:space="preserve">; Ủy ban nhân dân các các xã, phường, </w:t>
      </w:r>
      <w:r>
        <w:t>đặc khu</w:t>
      </w:r>
      <w:r w:rsidRPr="004F2F84">
        <w:t xml:space="preserve"> (cấp xã);</w:t>
      </w:r>
    </w:p>
    <w:p w:rsidR="006E588D" w:rsidRPr="004F2F84" w:rsidRDefault="006E588D" w:rsidP="006830B4">
      <w:pPr>
        <w:spacing w:before="120" w:after="60"/>
        <w:ind w:firstLine="567"/>
        <w:jc w:val="both"/>
      </w:pPr>
      <w:r w:rsidRPr="004F2F84">
        <w:t>b) Các cơ quan, đơn vị, cá nhân có liên quan đến việc quản lý</w:t>
      </w:r>
      <w:r>
        <w:t xml:space="preserve"> và</w:t>
      </w:r>
      <w:r w:rsidRPr="004F2F84">
        <w:t xml:space="preserve"> sử dụng </w:t>
      </w:r>
      <w:bookmarkEnd w:id="1"/>
      <w:r>
        <w:t>nguồn vốn ngân sách địa phương ủy thác qua Ngân hàng chính sách xã hội để cho vay đối với người nghèo và các đối tượng chính sách khác.</w:t>
      </w:r>
    </w:p>
    <w:bookmarkEnd w:id="2"/>
    <w:p w:rsidR="006830B4" w:rsidRPr="00192861" w:rsidRDefault="006830B4" w:rsidP="006830B4">
      <w:pPr>
        <w:spacing w:before="120" w:after="120" w:line="240" w:lineRule="auto"/>
        <w:ind w:firstLine="567"/>
        <w:jc w:val="both"/>
        <w:rPr>
          <w:b/>
          <w:lang w:val="pl-PL"/>
        </w:rPr>
      </w:pPr>
      <w:r w:rsidRPr="00192861">
        <w:rPr>
          <w:b/>
          <w:lang w:val="pl-PL"/>
        </w:rPr>
        <w:t>I</w:t>
      </w:r>
      <w:r>
        <w:rPr>
          <w:b/>
          <w:lang w:val="pl-PL"/>
        </w:rPr>
        <w:t>V</w:t>
      </w:r>
      <w:r w:rsidRPr="00192861">
        <w:rPr>
          <w:b/>
          <w:lang w:val="pl-PL"/>
        </w:rPr>
        <w:t xml:space="preserve">. </w:t>
      </w:r>
      <w:r>
        <w:rPr>
          <w:b/>
          <w:lang w:val="pl-PL"/>
        </w:rPr>
        <w:t>QU</w:t>
      </w:r>
      <w:r w:rsidRPr="00192861">
        <w:rPr>
          <w:b/>
          <w:lang w:val="pl-PL"/>
        </w:rPr>
        <w:t>Á</w:t>
      </w:r>
      <w:r>
        <w:rPr>
          <w:b/>
          <w:lang w:val="pl-PL"/>
        </w:rPr>
        <w:t xml:space="preserve"> TR</w:t>
      </w:r>
      <w:r w:rsidRPr="00192861">
        <w:rPr>
          <w:b/>
          <w:lang w:val="pl-PL"/>
        </w:rPr>
        <w:t>ÌNH</w:t>
      </w:r>
      <w:r>
        <w:rPr>
          <w:b/>
          <w:lang w:val="pl-PL"/>
        </w:rPr>
        <w:t xml:space="preserve"> X</w:t>
      </w:r>
      <w:r w:rsidRPr="00192861">
        <w:rPr>
          <w:b/>
          <w:lang w:val="pl-PL"/>
        </w:rPr>
        <w:t>Â</w:t>
      </w:r>
      <w:r>
        <w:rPr>
          <w:b/>
          <w:lang w:val="pl-PL"/>
        </w:rPr>
        <w:t>Y D</w:t>
      </w:r>
      <w:r w:rsidRPr="00192861">
        <w:rPr>
          <w:b/>
          <w:lang w:val="pl-PL"/>
        </w:rPr>
        <w:t>ỰN</w:t>
      </w:r>
      <w:r>
        <w:rPr>
          <w:b/>
          <w:lang w:val="pl-PL"/>
        </w:rPr>
        <w:t>G NGH</w:t>
      </w:r>
      <w:r w:rsidRPr="00192861">
        <w:rPr>
          <w:b/>
          <w:lang w:val="pl-PL"/>
        </w:rPr>
        <w:t>Ị</w:t>
      </w:r>
      <w:r>
        <w:rPr>
          <w:b/>
          <w:lang w:val="pl-PL"/>
        </w:rPr>
        <w:t xml:space="preserve"> QUY</w:t>
      </w:r>
      <w:r w:rsidRPr="00192861">
        <w:rPr>
          <w:b/>
          <w:lang w:val="pl-PL"/>
        </w:rPr>
        <w:t>ẾT</w:t>
      </w:r>
    </w:p>
    <w:p w:rsidR="006830B4" w:rsidRDefault="006830B4" w:rsidP="007A01FA">
      <w:pPr>
        <w:spacing w:before="120" w:after="0" w:line="240" w:lineRule="auto"/>
        <w:ind w:firstLine="567"/>
        <w:jc w:val="both"/>
        <w:rPr>
          <w:spacing w:val="-2"/>
          <w:szCs w:val="28"/>
        </w:rPr>
      </w:pPr>
      <w:r w:rsidRPr="00921489">
        <w:rPr>
          <w:spacing w:val="-2"/>
          <w:szCs w:val="28"/>
        </w:rPr>
        <w:t>Trên cơ sở ý kiến của Thường trực HĐND tỉnh tạ</w:t>
      </w:r>
      <w:r>
        <w:rPr>
          <w:spacing w:val="-2"/>
          <w:szCs w:val="28"/>
        </w:rPr>
        <w:t xml:space="preserve">i Công </w:t>
      </w:r>
      <w:r w:rsidRPr="00921489">
        <w:rPr>
          <w:spacing w:val="-2"/>
          <w:szCs w:val="28"/>
        </w:rPr>
        <w:t>văn số</w:t>
      </w:r>
      <w:r>
        <w:rPr>
          <w:spacing w:val="-2"/>
          <w:szCs w:val="28"/>
        </w:rPr>
        <w:t xml:space="preserve"> </w:t>
      </w:r>
      <w:r w:rsidR="00B62D70">
        <w:rPr>
          <w:spacing w:val="-2"/>
          <w:szCs w:val="28"/>
        </w:rPr>
        <w:t>129</w:t>
      </w:r>
      <w:r w:rsidRPr="00921489">
        <w:rPr>
          <w:spacing w:val="-2"/>
          <w:szCs w:val="28"/>
        </w:rPr>
        <w:t>/HĐND-</w:t>
      </w:r>
      <w:r>
        <w:rPr>
          <w:spacing w:val="-2"/>
          <w:szCs w:val="28"/>
        </w:rPr>
        <w:t>KTNS</w:t>
      </w:r>
      <w:r w:rsidRPr="00921489">
        <w:rPr>
          <w:spacing w:val="-2"/>
          <w:szCs w:val="28"/>
        </w:rPr>
        <w:t xml:space="preserve"> ngày </w:t>
      </w:r>
      <w:r w:rsidR="00B62D70">
        <w:rPr>
          <w:spacing w:val="-2"/>
          <w:szCs w:val="28"/>
        </w:rPr>
        <w:t>14</w:t>
      </w:r>
      <w:r>
        <w:rPr>
          <w:spacing w:val="-2"/>
          <w:szCs w:val="28"/>
        </w:rPr>
        <w:t>/10/</w:t>
      </w:r>
      <w:r w:rsidRPr="00921489">
        <w:rPr>
          <w:spacing w:val="-2"/>
          <w:szCs w:val="28"/>
        </w:rPr>
        <w:t>202</w:t>
      </w:r>
      <w:r>
        <w:rPr>
          <w:spacing w:val="-2"/>
          <w:szCs w:val="28"/>
        </w:rPr>
        <w:t>5 về việc x</w:t>
      </w:r>
      <w:r w:rsidRPr="00B2128A">
        <w:rPr>
          <w:spacing w:val="-2"/>
          <w:szCs w:val="28"/>
        </w:rPr>
        <w:t xml:space="preserve">ây dựng Nghị quyết quy </w:t>
      </w:r>
      <w:r w:rsidRPr="006830B4">
        <w:rPr>
          <w:spacing w:val="-2"/>
          <w:szCs w:val="28"/>
        </w:rPr>
        <w:t xml:space="preserve">định mức cho vay, thời hạn cho vay, lãi suất cho vay và các khoản nợ bị rủi ro ngoài phạm vi đối tượng và </w:t>
      </w:r>
      <w:r w:rsidRPr="006830B4">
        <w:rPr>
          <w:spacing w:val="-2"/>
          <w:szCs w:val="28"/>
        </w:rPr>
        <w:lastRenderedPageBreak/>
        <w:t>nguyên nhân khách quan được xem xét xử lý rủi ro theo quy định của Thủ tướng Chính phủ từ nguồn vốn ngân sách địa phương ủy thác qua Ngân hàng chính sách xã hội trên địa bàn tỉnh Quả</w:t>
      </w:r>
      <w:r>
        <w:rPr>
          <w:spacing w:val="-2"/>
          <w:szCs w:val="28"/>
        </w:rPr>
        <w:t>ng Ngãi</w:t>
      </w:r>
      <w:r w:rsidR="007A01FA">
        <w:rPr>
          <w:spacing w:val="-2"/>
          <w:szCs w:val="28"/>
        </w:rPr>
        <w:t xml:space="preserve">; </w:t>
      </w:r>
      <w:r w:rsidR="007A01FA" w:rsidRPr="007A01FA">
        <w:rPr>
          <w:spacing w:val="-2"/>
          <w:szCs w:val="28"/>
        </w:rPr>
        <w:t>xây dựng, ban hành Nghị quyết</w:t>
      </w:r>
      <w:r w:rsidR="007A01FA">
        <w:rPr>
          <w:spacing w:val="-2"/>
          <w:szCs w:val="28"/>
        </w:rPr>
        <w:t>,</w:t>
      </w:r>
      <w:r w:rsidRPr="002A0E83">
        <w:rPr>
          <w:bCs/>
          <w:szCs w:val="28"/>
        </w:rPr>
        <w:t xml:space="preserve"> Chủ</w:t>
      </w:r>
      <w:r w:rsidRPr="00C53123">
        <w:rPr>
          <w:spacing w:val="-2"/>
          <w:szCs w:val="28"/>
        </w:rPr>
        <w:t xml:space="preserve"> tịch UBND tỉ</w:t>
      </w:r>
      <w:r>
        <w:rPr>
          <w:spacing w:val="-2"/>
          <w:szCs w:val="28"/>
        </w:rPr>
        <w:t>nh</w:t>
      </w:r>
      <w:r w:rsidRPr="00C53123">
        <w:rPr>
          <w:spacing w:val="-2"/>
          <w:szCs w:val="28"/>
        </w:rPr>
        <w:t xml:space="preserve"> giao Sở Tài chính chủ trì</w:t>
      </w:r>
      <w:r>
        <w:rPr>
          <w:spacing w:val="-2"/>
          <w:szCs w:val="28"/>
        </w:rPr>
        <w:t>,</w:t>
      </w:r>
      <w:r w:rsidRPr="00C53123">
        <w:rPr>
          <w:spacing w:val="-2"/>
          <w:szCs w:val="28"/>
        </w:rPr>
        <w:t xml:space="preserve"> phối hợp </w:t>
      </w:r>
      <w:r>
        <w:rPr>
          <w:spacing w:val="-2"/>
          <w:szCs w:val="28"/>
        </w:rPr>
        <w:t>v</w:t>
      </w:r>
      <w:r w:rsidRPr="00143F8D">
        <w:rPr>
          <w:spacing w:val="-2"/>
          <w:szCs w:val="28"/>
        </w:rPr>
        <w:t>ới</w:t>
      </w:r>
      <w:r>
        <w:rPr>
          <w:spacing w:val="-2"/>
          <w:szCs w:val="28"/>
        </w:rPr>
        <w:t xml:space="preserve"> c</w:t>
      </w:r>
      <w:r w:rsidRPr="00143F8D">
        <w:rPr>
          <w:spacing w:val="-2"/>
          <w:szCs w:val="28"/>
        </w:rPr>
        <w:t>ác</w:t>
      </w:r>
      <w:r>
        <w:rPr>
          <w:spacing w:val="-2"/>
          <w:szCs w:val="28"/>
        </w:rPr>
        <w:t xml:space="preserve"> c</w:t>
      </w:r>
      <w:r w:rsidRPr="00143F8D">
        <w:rPr>
          <w:spacing w:val="-2"/>
          <w:szCs w:val="28"/>
        </w:rPr>
        <w:t>ơ</w:t>
      </w:r>
      <w:r>
        <w:rPr>
          <w:spacing w:val="-2"/>
          <w:szCs w:val="28"/>
        </w:rPr>
        <w:t xml:space="preserve"> quan, </w:t>
      </w:r>
      <w:r w:rsidRPr="00143F8D">
        <w:rPr>
          <w:spacing w:val="-2"/>
          <w:szCs w:val="28"/>
        </w:rPr>
        <w:t>đơ</w:t>
      </w:r>
      <w:r>
        <w:rPr>
          <w:spacing w:val="-2"/>
          <w:szCs w:val="28"/>
        </w:rPr>
        <w:t>n v</w:t>
      </w:r>
      <w:r w:rsidRPr="00143F8D">
        <w:rPr>
          <w:spacing w:val="-2"/>
          <w:szCs w:val="28"/>
        </w:rPr>
        <w:t>ị</w:t>
      </w:r>
      <w:r>
        <w:rPr>
          <w:spacing w:val="-2"/>
          <w:szCs w:val="28"/>
        </w:rPr>
        <w:t xml:space="preserve"> v</w:t>
      </w:r>
      <w:r w:rsidRPr="00143F8D">
        <w:rPr>
          <w:spacing w:val="-2"/>
          <w:szCs w:val="28"/>
        </w:rPr>
        <w:t>à</w:t>
      </w:r>
      <w:r>
        <w:rPr>
          <w:spacing w:val="-2"/>
          <w:szCs w:val="28"/>
        </w:rPr>
        <w:t xml:space="preserve"> </w:t>
      </w:r>
      <w:r w:rsidRPr="00143F8D">
        <w:rPr>
          <w:spacing w:val="-2"/>
          <w:szCs w:val="28"/>
        </w:rPr>
        <w:t>địa</w:t>
      </w:r>
      <w:r>
        <w:rPr>
          <w:spacing w:val="-2"/>
          <w:szCs w:val="28"/>
        </w:rPr>
        <w:t xml:space="preserve"> ph</w:t>
      </w:r>
      <w:r w:rsidRPr="00143F8D">
        <w:rPr>
          <w:spacing w:val="-2"/>
          <w:szCs w:val="28"/>
        </w:rPr>
        <w:t>ương</w:t>
      </w:r>
      <w:r>
        <w:rPr>
          <w:spacing w:val="-2"/>
          <w:szCs w:val="28"/>
        </w:rPr>
        <w:t xml:space="preserve"> </w:t>
      </w:r>
      <w:r w:rsidRPr="00C53123">
        <w:rPr>
          <w:spacing w:val="-2"/>
          <w:szCs w:val="28"/>
        </w:rPr>
        <w:t xml:space="preserve">có liên quan </w:t>
      </w:r>
      <w:r>
        <w:rPr>
          <w:spacing w:val="-2"/>
          <w:szCs w:val="28"/>
        </w:rPr>
        <w:t>kh</w:t>
      </w:r>
      <w:r w:rsidRPr="00143F8D">
        <w:rPr>
          <w:spacing w:val="-2"/>
          <w:szCs w:val="28"/>
        </w:rPr>
        <w:t>ẩ</w:t>
      </w:r>
      <w:r>
        <w:rPr>
          <w:spacing w:val="-2"/>
          <w:szCs w:val="28"/>
        </w:rPr>
        <w:t>n trư</w:t>
      </w:r>
      <w:r w:rsidRPr="007778CA">
        <w:rPr>
          <w:spacing w:val="-2"/>
          <w:szCs w:val="28"/>
        </w:rPr>
        <w:t>ơ</w:t>
      </w:r>
      <w:r w:rsidRPr="00143F8D">
        <w:rPr>
          <w:spacing w:val="-2"/>
          <w:szCs w:val="28"/>
        </w:rPr>
        <w:t>ng</w:t>
      </w:r>
      <w:r>
        <w:rPr>
          <w:spacing w:val="-2"/>
          <w:szCs w:val="28"/>
        </w:rPr>
        <w:t xml:space="preserve"> x</w:t>
      </w:r>
      <w:r w:rsidRPr="00143F8D">
        <w:rPr>
          <w:spacing w:val="-2"/>
          <w:szCs w:val="28"/>
        </w:rPr>
        <w:t>â</w:t>
      </w:r>
      <w:r>
        <w:rPr>
          <w:spacing w:val="-2"/>
          <w:szCs w:val="28"/>
        </w:rPr>
        <w:t>y d</w:t>
      </w:r>
      <w:r w:rsidRPr="00143F8D">
        <w:rPr>
          <w:spacing w:val="-2"/>
          <w:szCs w:val="28"/>
        </w:rPr>
        <w:t>ựng</w:t>
      </w:r>
      <w:r w:rsidRPr="004476AE">
        <w:rPr>
          <w:spacing w:val="-2"/>
          <w:szCs w:val="28"/>
        </w:rPr>
        <w:t xml:space="preserve"> Nghị quyết</w:t>
      </w:r>
      <w:r>
        <w:rPr>
          <w:spacing w:val="-2"/>
          <w:szCs w:val="28"/>
        </w:rPr>
        <w:t xml:space="preserve"> theo </w:t>
      </w:r>
      <w:r w:rsidRPr="00143F8D">
        <w:rPr>
          <w:spacing w:val="-2"/>
          <w:szCs w:val="28"/>
        </w:rPr>
        <w:t>đúng</w:t>
      </w:r>
      <w:r>
        <w:rPr>
          <w:spacing w:val="-2"/>
          <w:szCs w:val="28"/>
        </w:rPr>
        <w:t xml:space="preserve"> trình tự,</w:t>
      </w:r>
      <w:r w:rsidRPr="00C53123">
        <w:rPr>
          <w:spacing w:val="-2"/>
          <w:szCs w:val="28"/>
        </w:rPr>
        <w:t xml:space="preserve"> thủ tụ</w:t>
      </w:r>
      <w:r>
        <w:rPr>
          <w:spacing w:val="-2"/>
          <w:szCs w:val="28"/>
        </w:rPr>
        <w:t>c</w:t>
      </w:r>
      <w:r w:rsidRPr="00C53123">
        <w:rPr>
          <w:spacing w:val="-2"/>
          <w:szCs w:val="28"/>
        </w:rPr>
        <w:t xml:space="preserve"> quy định. Trên cơ sở đó, Sở</w:t>
      </w:r>
      <w:r>
        <w:rPr>
          <w:spacing w:val="-2"/>
          <w:szCs w:val="28"/>
        </w:rPr>
        <w:t xml:space="preserve"> Tài chính</w:t>
      </w:r>
      <w:r w:rsidRPr="00C53123">
        <w:rPr>
          <w:spacing w:val="-2"/>
          <w:szCs w:val="28"/>
        </w:rPr>
        <w:t xml:space="preserve"> xây dựng dự thảo Nghị quyế</w:t>
      </w:r>
      <w:r w:rsidR="00B62D70">
        <w:rPr>
          <w:spacing w:val="-2"/>
          <w:szCs w:val="28"/>
        </w:rPr>
        <w:t>t</w:t>
      </w:r>
      <w:r w:rsidRPr="00C53123">
        <w:rPr>
          <w:spacing w:val="-2"/>
          <w:szCs w:val="28"/>
        </w:rPr>
        <w:t xml:space="preserve"> lấy ý kiến các cơ quan, đơn vị, địa phương và gửi Sở Tư pháp thẩm định. Sau khi có kết quả thẩm định của Sở Tư pháp tại Báo cáo số</w:t>
      </w:r>
      <w:r>
        <w:rPr>
          <w:spacing w:val="-2"/>
          <w:szCs w:val="28"/>
        </w:rPr>
        <w:t xml:space="preserve">     /</w:t>
      </w:r>
      <w:r w:rsidRPr="00C53123">
        <w:rPr>
          <w:spacing w:val="-2"/>
          <w:szCs w:val="28"/>
        </w:rPr>
        <w:t>BC-STP ngày</w:t>
      </w:r>
      <w:r>
        <w:rPr>
          <w:spacing w:val="-2"/>
          <w:szCs w:val="28"/>
        </w:rPr>
        <w:t xml:space="preserve">    /    /2025, </w:t>
      </w:r>
      <w:r w:rsidRPr="00C53123">
        <w:rPr>
          <w:spacing w:val="-2"/>
          <w:szCs w:val="28"/>
        </w:rPr>
        <w:t>Sở Tài chính hoàn chỉnh lại dự thảo Nghị quyết và tham mưu UBND tỉnh xem xét trình HĐND tỉnh ban hành.</w:t>
      </w:r>
    </w:p>
    <w:p w:rsidR="006830B4" w:rsidRPr="006830B4" w:rsidRDefault="006830B4" w:rsidP="006830B4">
      <w:pPr>
        <w:widowControl w:val="0"/>
        <w:tabs>
          <w:tab w:val="num" w:pos="0"/>
        </w:tabs>
        <w:spacing w:before="120" w:after="0" w:line="240" w:lineRule="auto"/>
        <w:ind w:firstLine="567"/>
        <w:jc w:val="both"/>
        <w:rPr>
          <w:b/>
          <w:spacing w:val="-2"/>
          <w:szCs w:val="28"/>
        </w:rPr>
      </w:pPr>
      <w:r w:rsidRPr="006830B4">
        <w:rPr>
          <w:b/>
          <w:spacing w:val="-2"/>
          <w:szCs w:val="28"/>
        </w:rPr>
        <w:t>V. BỐ CỤC VÀ NỘI DUNG NGHỊ QUYẾT</w:t>
      </w:r>
    </w:p>
    <w:p w:rsidR="006830B4" w:rsidRPr="006830B4" w:rsidRDefault="006830B4" w:rsidP="006830B4">
      <w:pPr>
        <w:spacing w:before="120" w:after="0" w:line="240" w:lineRule="auto"/>
        <w:ind w:firstLine="567"/>
        <w:jc w:val="both"/>
        <w:rPr>
          <w:b/>
          <w:spacing w:val="-2"/>
          <w:szCs w:val="28"/>
        </w:rPr>
      </w:pPr>
      <w:r w:rsidRPr="006830B4">
        <w:rPr>
          <w:b/>
          <w:spacing w:val="-2"/>
          <w:szCs w:val="28"/>
        </w:rPr>
        <w:t>1. Bố cục:</w:t>
      </w:r>
    </w:p>
    <w:p w:rsidR="006830B4" w:rsidRPr="006830B4" w:rsidRDefault="006830B4" w:rsidP="006830B4">
      <w:pPr>
        <w:spacing w:before="120" w:after="0" w:line="240" w:lineRule="auto"/>
        <w:ind w:firstLine="567"/>
        <w:jc w:val="both"/>
        <w:rPr>
          <w:spacing w:val="-2"/>
          <w:szCs w:val="28"/>
        </w:rPr>
      </w:pPr>
      <w:r w:rsidRPr="006830B4">
        <w:rPr>
          <w:spacing w:val="-2"/>
          <w:szCs w:val="28"/>
        </w:rPr>
        <w:t xml:space="preserve">Dự thảo Nghị quyết của HĐND tỉnh gồm </w:t>
      </w:r>
      <w:r w:rsidR="00943283">
        <w:rPr>
          <w:spacing w:val="-2"/>
          <w:szCs w:val="28"/>
        </w:rPr>
        <w:t>5</w:t>
      </w:r>
      <w:r w:rsidRPr="006830B4">
        <w:rPr>
          <w:spacing w:val="-2"/>
          <w:szCs w:val="28"/>
        </w:rPr>
        <w:t xml:space="preserve"> Điều.</w:t>
      </w:r>
    </w:p>
    <w:p w:rsidR="006830B4" w:rsidRPr="006830B4" w:rsidRDefault="006830B4" w:rsidP="006830B4">
      <w:pPr>
        <w:spacing w:before="120" w:after="0" w:line="240" w:lineRule="auto"/>
        <w:ind w:firstLine="567"/>
        <w:jc w:val="both"/>
        <w:rPr>
          <w:bCs/>
          <w:spacing w:val="2"/>
          <w:lang w:val="nb-NO"/>
        </w:rPr>
      </w:pPr>
      <w:r w:rsidRPr="006830B4">
        <w:rPr>
          <w:spacing w:val="-2"/>
          <w:szCs w:val="28"/>
        </w:rPr>
        <w:t xml:space="preserve">- Điều 1: </w:t>
      </w:r>
      <w:r w:rsidRPr="006830B4">
        <w:rPr>
          <w:bCs/>
          <w:color w:val="000000"/>
        </w:rPr>
        <w:t>Phạm vi điều chỉnh</w:t>
      </w:r>
      <w:r>
        <w:rPr>
          <w:bCs/>
          <w:color w:val="000000"/>
        </w:rPr>
        <w:t>,</w:t>
      </w:r>
      <w:r w:rsidRPr="006830B4">
        <w:rPr>
          <w:bCs/>
          <w:color w:val="000000"/>
        </w:rPr>
        <w:t xml:space="preserve"> đối tượng áp dụng</w:t>
      </w:r>
    </w:p>
    <w:p w:rsidR="006830B4" w:rsidRDefault="006830B4" w:rsidP="006830B4">
      <w:pPr>
        <w:spacing w:before="120" w:after="0" w:line="240" w:lineRule="auto"/>
        <w:ind w:firstLine="567"/>
        <w:jc w:val="both"/>
        <w:rPr>
          <w:bCs/>
          <w:szCs w:val="28"/>
        </w:rPr>
      </w:pPr>
      <w:r w:rsidRPr="006830B4">
        <w:rPr>
          <w:spacing w:val="2"/>
          <w:lang w:val="nb-NO"/>
        </w:rPr>
        <w:t xml:space="preserve">- Điều 2. </w:t>
      </w:r>
      <w:r w:rsidRPr="006830B4">
        <w:rPr>
          <w:bCs/>
          <w:szCs w:val="28"/>
        </w:rPr>
        <w:t>Mức cho vay, thời hạn cho vay, lãi suất cho vay</w:t>
      </w:r>
    </w:p>
    <w:p w:rsidR="006830B4" w:rsidRDefault="006830B4" w:rsidP="006830B4">
      <w:pPr>
        <w:spacing w:before="120" w:after="0" w:line="240" w:lineRule="auto"/>
        <w:ind w:firstLine="567"/>
        <w:jc w:val="both"/>
        <w:rPr>
          <w:bCs/>
          <w:spacing w:val="2"/>
          <w:lang w:val="nb-NO"/>
        </w:rPr>
      </w:pPr>
      <w:r w:rsidRPr="006830B4">
        <w:rPr>
          <w:spacing w:val="2"/>
          <w:lang w:val="nb-NO"/>
        </w:rPr>
        <w:t xml:space="preserve">- Điều 3. </w:t>
      </w:r>
      <w:r w:rsidRPr="006830B4">
        <w:rPr>
          <w:bCs/>
          <w:spacing w:val="2"/>
          <w:lang w:val="nb-NO"/>
        </w:rPr>
        <w:t>Các khoản nợ bị rủi ro ngoài phạm vi đối tượng và nguyên nhân khách quan được xem xét xử lý rủi ro theo quy định của Thủ tướng Chính phủ</w:t>
      </w:r>
    </w:p>
    <w:p w:rsidR="006830B4" w:rsidRDefault="006830B4" w:rsidP="006830B4">
      <w:pPr>
        <w:spacing w:before="120" w:after="0" w:line="240" w:lineRule="auto"/>
        <w:ind w:firstLine="567"/>
        <w:jc w:val="both"/>
        <w:rPr>
          <w:bCs/>
          <w:spacing w:val="2"/>
          <w:lang w:val="nb-NO"/>
        </w:rPr>
      </w:pPr>
      <w:r w:rsidRPr="006830B4">
        <w:rPr>
          <w:bCs/>
          <w:spacing w:val="2"/>
          <w:lang w:val="nb-NO"/>
        </w:rPr>
        <w:t>- Điều 4. Tổ chức thực hiện</w:t>
      </w:r>
      <w:r>
        <w:rPr>
          <w:bCs/>
          <w:spacing w:val="2"/>
          <w:lang w:val="nb-NO"/>
        </w:rPr>
        <w:t>.</w:t>
      </w:r>
    </w:p>
    <w:p w:rsidR="006830B4" w:rsidRDefault="006830B4" w:rsidP="006830B4">
      <w:pPr>
        <w:spacing w:before="120" w:after="0" w:line="240" w:lineRule="auto"/>
        <w:ind w:firstLine="567"/>
        <w:jc w:val="both"/>
        <w:rPr>
          <w:bCs/>
          <w:spacing w:val="2"/>
          <w:lang w:val="nb-NO"/>
        </w:rPr>
      </w:pPr>
      <w:r w:rsidRPr="006830B4">
        <w:rPr>
          <w:bCs/>
          <w:spacing w:val="2"/>
          <w:lang w:val="nb-NO"/>
        </w:rPr>
        <w:t xml:space="preserve">- Điều </w:t>
      </w:r>
      <w:r w:rsidR="00943283">
        <w:rPr>
          <w:bCs/>
          <w:spacing w:val="2"/>
          <w:lang w:val="nb-NO"/>
        </w:rPr>
        <w:t>5</w:t>
      </w:r>
      <w:r w:rsidRPr="006830B4">
        <w:rPr>
          <w:bCs/>
          <w:spacing w:val="2"/>
          <w:lang w:val="nb-NO"/>
        </w:rPr>
        <w:t xml:space="preserve">. </w:t>
      </w:r>
      <w:r w:rsidR="00943283" w:rsidRPr="00943283">
        <w:rPr>
          <w:bCs/>
          <w:spacing w:val="2"/>
          <w:lang w:val="nb-NO"/>
        </w:rPr>
        <w:t>Điều khoản thi hành</w:t>
      </w:r>
      <w:r>
        <w:rPr>
          <w:bCs/>
          <w:spacing w:val="2"/>
          <w:lang w:val="nb-NO"/>
        </w:rPr>
        <w:t>.</w:t>
      </w:r>
    </w:p>
    <w:p w:rsidR="006830B4" w:rsidRPr="006830B4" w:rsidRDefault="006830B4" w:rsidP="006830B4">
      <w:pPr>
        <w:spacing w:before="120" w:after="0" w:line="240" w:lineRule="auto"/>
        <w:ind w:firstLine="567"/>
        <w:jc w:val="both"/>
        <w:rPr>
          <w:b/>
          <w:spacing w:val="-2"/>
          <w:szCs w:val="28"/>
        </w:rPr>
      </w:pPr>
      <w:r w:rsidRPr="006830B4">
        <w:rPr>
          <w:b/>
          <w:spacing w:val="-2"/>
          <w:szCs w:val="28"/>
        </w:rPr>
        <w:t>2. Nội dung</w:t>
      </w:r>
    </w:p>
    <w:p w:rsidR="005A23FF" w:rsidRDefault="006830B4" w:rsidP="005A23FF">
      <w:pPr>
        <w:shd w:val="clear" w:color="auto" w:fill="FFFFFF"/>
        <w:spacing w:before="120" w:after="0" w:line="240" w:lineRule="auto"/>
        <w:ind w:firstLine="567"/>
        <w:jc w:val="both"/>
        <w:rPr>
          <w:spacing w:val="-2"/>
          <w:szCs w:val="28"/>
        </w:rPr>
      </w:pPr>
      <w:r w:rsidRPr="006830B4">
        <w:rPr>
          <w:spacing w:val="-2"/>
          <w:szCs w:val="28"/>
        </w:rPr>
        <w:t xml:space="preserve">Quy </w:t>
      </w:r>
      <w:r w:rsidR="005A23FF" w:rsidRPr="006830B4">
        <w:rPr>
          <w:spacing w:val="-2"/>
          <w:szCs w:val="28"/>
        </w:rPr>
        <w:t>định 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w:t>
      </w:r>
      <w:r w:rsidR="005A23FF">
        <w:rPr>
          <w:spacing w:val="-2"/>
          <w:szCs w:val="28"/>
        </w:rPr>
        <w:t>ng Ngãi</w:t>
      </w:r>
    </w:p>
    <w:p w:rsidR="006E588D" w:rsidRPr="00D034FB" w:rsidRDefault="006E588D" w:rsidP="006830B4">
      <w:pPr>
        <w:pStyle w:val="NormalWeb"/>
        <w:shd w:val="clear" w:color="auto" w:fill="FFFFFF"/>
        <w:spacing w:before="120" w:beforeAutospacing="0" w:after="120" w:afterAutospacing="0"/>
        <w:ind w:firstLine="567"/>
        <w:jc w:val="both"/>
        <w:rPr>
          <w:rFonts w:eastAsia="Calibri"/>
          <w:b/>
          <w:bCs/>
          <w:sz w:val="28"/>
          <w:szCs w:val="28"/>
        </w:rPr>
      </w:pPr>
      <w:r w:rsidRPr="00D034FB">
        <w:rPr>
          <w:rFonts w:eastAsia="Calibri"/>
          <w:b/>
          <w:bCs/>
          <w:sz w:val="28"/>
          <w:szCs w:val="28"/>
        </w:rPr>
        <w:t>V</w:t>
      </w:r>
      <w:r w:rsidR="005A23FF">
        <w:rPr>
          <w:rFonts w:eastAsia="Calibri"/>
          <w:b/>
          <w:bCs/>
          <w:sz w:val="28"/>
          <w:szCs w:val="28"/>
        </w:rPr>
        <w:t>I</w:t>
      </w:r>
      <w:r w:rsidRPr="00D034FB">
        <w:rPr>
          <w:rFonts w:eastAsia="Calibri"/>
          <w:b/>
          <w:bCs/>
          <w:sz w:val="28"/>
          <w:szCs w:val="28"/>
        </w:rPr>
        <w:t>. DỰ KIẾN NGUỒN LỰC, ĐIỀU KIỆN ĐẢM BẢO CHO VIỆC THI HÀNH NGHỊ QUYẾT</w:t>
      </w:r>
    </w:p>
    <w:p w:rsidR="006E588D" w:rsidRPr="00D034FB" w:rsidRDefault="006E588D" w:rsidP="006830B4">
      <w:pPr>
        <w:spacing w:before="120" w:after="120" w:line="240" w:lineRule="auto"/>
        <w:ind w:firstLine="567"/>
        <w:jc w:val="both"/>
        <w:rPr>
          <w:bCs/>
        </w:rPr>
      </w:pPr>
      <w:r w:rsidRPr="00D034FB">
        <w:rPr>
          <w:bCs/>
        </w:rPr>
        <w:t>Nguồn lực thực hiện từ nguồn ngân sách địa phương</w:t>
      </w:r>
      <w:r w:rsidR="003A35E6">
        <w:rPr>
          <w:bCs/>
        </w:rPr>
        <w:t xml:space="preserve"> ủy thác qua Chi nhánh Ngân hàng chính sách xã hội tỉnh</w:t>
      </w:r>
      <w:r w:rsidRPr="00D034FB">
        <w:rPr>
          <w:bCs/>
        </w:rPr>
        <w:t>.</w:t>
      </w:r>
      <w:r>
        <w:rPr>
          <w:bCs/>
        </w:rPr>
        <w:t xml:space="preserve"> </w:t>
      </w:r>
      <w:r w:rsidRPr="00D034FB">
        <w:rPr>
          <w:bCs/>
        </w:rPr>
        <w:t>Sau khi được HĐND tỉnh thông qua Nghị quyết, UBND tỉnh</w:t>
      </w:r>
      <w:r w:rsidR="003A35E6">
        <w:rPr>
          <w:bCs/>
        </w:rPr>
        <w:t xml:space="preserve"> chỉ đạo</w:t>
      </w:r>
      <w:r w:rsidRPr="00D034FB">
        <w:rPr>
          <w:bCs/>
        </w:rPr>
        <w:t xml:space="preserve"> triển khai thực hiện trên địa bàn tỉnh theo đúng quy định.</w:t>
      </w:r>
    </w:p>
    <w:p w:rsidR="005A23FF" w:rsidRPr="005A23FF" w:rsidRDefault="005A23FF" w:rsidP="005A23FF">
      <w:pPr>
        <w:shd w:val="clear" w:color="auto" w:fill="FFFFFF"/>
        <w:spacing w:before="120" w:after="0" w:line="240" w:lineRule="auto"/>
        <w:ind w:firstLine="567"/>
        <w:jc w:val="both"/>
        <w:rPr>
          <w:spacing w:val="-2"/>
          <w:szCs w:val="28"/>
        </w:rPr>
      </w:pPr>
      <w:r w:rsidRPr="005A23FF">
        <w:rPr>
          <w:bCs/>
        </w:rPr>
        <w:t xml:space="preserve">Trên đây là Tờ trình về dự thảo Nghị quyết </w:t>
      </w:r>
      <w:r w:rsidRPr="005A23FF">
        <w:rPr>
          <w:bCs/>
          <w:szCs w:val="28"/>
        </w:rPr>
        <w:t xml:space="preserve">quy </w:t>
      </w:r>
      <w:r w:rsidRPr="006830B4">
        <w:rPr>
          <w:spacing w:val="-2"/>
          <w:szCs w:val="28"/>
        </w:rPr>
        <w:t>định mức cho vay, thời hạn cho vay, lãi suất cho vay và các khoản nợ bị rủi ro ngoài phạm vi đối tượng và nguyên nhân khách quan được xem xé</w:t>
      </w:r>
      <w:bookmarkStart w:id="3" w:name="_GoBack"/>
      <w:bookmarkEnd w:id="3"/>
      <w:r w:rsidRPr="006830B4">
        <w:rPr>
          <w:spacing w:val="-2"/>
          <w:szCs w:val="28"/>
        </w:rPr>
        <w:t>t xử lý rủi ro theo quy định của Thủ tướng Chính phủ từ nguồn vốn ngân sách địa phương ủy thác qua Ngân hàng chính sách xã hội trên địa bàn tỉnh Quả</w:t>
      </w:r>
      <w:r>
        <w:rPr>
          <w:spacing w:val="-2"/>
          <w:szCs w:val="28"/>
        </w:rPr>
        <w:t>ng Ngãi</w:t>
      </w:r>
      <w:r w:rsidRPr="005A23FF">
        <w:rPr>
          <w:szCs w:val="28"/>
        </w:rPr>
        <w:t xml:space="preserve">, </w:t>
      </w:r>
      <w:r w:rsidRPr="005A23FF">
        <w:rPr>
          <w:szCs w:val="28"/>
          <w:lang w:val="vi-VN"/>
        </w:rPr>
        <w:t>Ủy ban nhân dân tỉnh xin k</w:t>
      </w:r>
      <w:r w:rsidRPr="005A23FF">
        <w:rPr>
          <w:szCs w:val="28"/>
        </w:rPr>
        <w:t>ính trình H</w:t>
      </w:r>
      <w:r w:rsidRPr="005A23FF">
        <w:rPr>
          <w:szCs w:val="28"/>
          <w:lang w:val="vi-VN"/>
        </w:rPr>
        <w:t xml:space="preserve">ội đồng nhân dân </w:t>
      </w:r>
      <w:r w:rsidRPr="005A23FF">
        <w:rPr>
          <w:szCs w:val="28"/>
        </w:rPr>
        <w:t xml:space="preserve">tỉnh xem xét, quyết </w:t>
      </w:r>
      <w:r w:rsidRPr="005A23FF">
        <w:rPr>
          <w:szCs w:val="28"/>
          <w:lang w:val="vi-VN"/>
        </w:rPr>
        <w:t>định</w:t>
      </w:r>
      <w:r w:rsidRPr="005A23FF">
        <w:rPr>
          <w:szCs w:val="28"/>
        </w:rPr>
        <w:t>.</w:t>
      </w:r>
    </w:p>
    <w:p w:rsidR="005A23FF" w:rsidRPr="005A23FF" w:rsidRDefault="005A23FF" w:rsidP="00923ECD">
      <w:pPr>
        <w:spacing w:before="100"/>
        <w:ind w:firstLine="720"/>
        <w:jc w:val="center"/>
        <w:rPr>
          <w:i/>
          <w:szCs w:val="28"/>
        </w:rPr>
      </w:pPr>
      <w:r w:rsidRPr="005A23FF">
        <w:rPr>
          <w:i/>
          <w:szCs w:val="28"/>
        </w:rPr>
        <w:t>(</w:t>
      </w:r>
      <w:r w:rsidR="00923ECD">
        <w:rPr>
          <w:i/>
          <w:szCs w:val="28"/>
        </w:rPr>
        <w:t>K</w:t>
      </w:r>
      <w:r w:rsidRPr="005A23FF">
        <w:rPr>
          <w:i/>
          <w:szCs w:val="28"/>
        </w:rPr>
        <w:t xml:space="preserve">èm theo dự thảo Nghị quyết </w:t>
      </w:r>
      <w:r w:rsidR="00923ECD">
        <w:rPr>
          <w:i/>
          <w:szCs w:val="28"/>
        </w:rPr>
        <w:t xml:space="preserve">của HĐND tỉnh </w:t>
      </w:r>
      <w:r w:rsidR="00923ECD" w:rsidRPr="00923ECD">
        <w:rPr>
          <w:i/>
          <w:szCs w:val="28"/>
        </w:rPr>
        <w:t>Quảng Ngãi</w:t>
      </w:r>
      <w:r w:rsidRPr="005A23FF">
        <w:rPr>
          <w:i/>
          <w:szCs w:val="28"/>
        </w:rPr>
        <w:t>).</w:t>
      </w:r>
    </w:p>
    <w:p w:rsidR="001778DF" w:rsidRPr="001778DF" w:rsidRDefault="001778DF" w:rsidP="001778DF">
      <w:pPr>
        <w:spacing w:before="120" w:after="0" w:line="240" w:lineRule="auto"/>
        <w:ind w:firstLine="709"/>
        <w:jc w:val="both"/>
        <w:rPr>
          <w:sz w:val="10"/>
          <w:szCs w:val="10"/>
        </w:rPr>
      </w:pPr>
    </w:p>
    <w:tbl>
      <w:tblPr>
        <w:tblW w:w="9111" w:type="dxa"/>
        <w:tblInd w:w="82" w:type="dxa"/>
        <w:tblLayout w:type="fixed"/>
        <w:tblLook w:val="0000" w:firstRow="0" w:lastRow="0" w:firstColumn="0" w:lastColumn="0" w:noHBand="0" w:noVBand="0"/>
      </w:tblPr>
      <w:tblGrid>
        <w:gridCol w:w="3485"/>
        <w:gridCol w:w="612"/>
        <w:gridCol w:w="5014"/>
      </w:tblGrid>
      <w:tr w:rsidR="005A23FF" w:rsidTr="008461A6">
        <w:tc>
          <w:tcPr>
            <w:tcW w:w="3485" w:type="dxa"/>
          </w:tcPr>
          <w:p w:rsidR="005A23FF" w:rsidRDefault="005A23FF" w:rsidP="008461A6">
            <w:pPr>
              <w:spacing w:after="0" w:line="240" w:lineRule="auto"/>
              <w:rPr>
                <w:sz w:val="24"/>
                <w:szCs w:val="24"/>
                <w:lang w:val="nl-NL"/>
              </w:rPr>
            </w:pPr>
            <w:r>
              <w:rPr>
                <w:b/>
                <w:i/>
                <w:sz w:val="24"/>
                <w:szCs w:val="24"/>
                <w:lang w:val="nl-NL"/>
              </w:rPr>
              <w:t>Nơi nhận:</w:t>
            </w:r>
          </w:p>
        </w:tc>
        <w:tc>
          <w:tcPr>
            <w:tcW w:w="612" w:type="dxa"/>
          </w:tcPr>
          <w:p w:rsidR="005A23FF" w:rsidRDefault="005A23FF" w:rsidP="008461A6">
            <w:pPr>
              <w:spacing w:after="0" w:line="240" w:lineRule="auto"/>
              <w:rPr>
                <w:lang w:val="nl-NL"/>
              </w:rPr>
            </w:pPr>
          </w:p>
        </w:tc>
        <w:tc>
          <w:tcPr>
            <w:tcW w:w="5014" w:type="dxa"/>
          </w:tcPr>
          <w:p w:rsidR="005A23FF" w:rsidRDefault="005A23FF" w:rsidP="008461A6">
            <w:pPr>
              <w:pStyle w:val="Heading1"/>
              <w:rPr>
                <w:rFonts w:ascii="Times New Roman" w:hAnsi="Times New Roman"/>
                <w:sz w:val="28"/>
                <w:szCs w:val="28"/>
                <w:lang w:val="nl-NL"/>
              </w:rPr>
            </w:pPr>
            <w:r>
              <w:rPr>
                <w:rFonts w:ascii="Times New Roman" w:hAnsi="Times New Roman"/>
                <w:sz w:val="28"/>
                <w:szCs w:val="28"/>
                <w:lang w:val="nl-NL"/>
              </w:rPr>
              <w:t>TM. UỶ BAN NHÂN DÂN</w:t>
            </w:r>
          </w:p>
        </w:tc>
      </w:tr>
      <w:tr w:rsidR="005A23FF" w:rsidTr="008461A6">
        <w:tc>
          <w:tcPr>
            <w:tcW w:w="3485" w:type="dxa"/>
          </w:tcPr>
          <w:p w:rsidR="005A23FF" w:rsidRDefault="005A23FF" w:rsidP="008461A6">
            <w:pPr>
              <w:spacing w:after="0" w:line="240" w:lineRule="auto"/>
              <w:rPr>
                <w:sz w:val="22"/>
                <w:lang w:val="nl-NL"/>
              </w:rPr>
            </w:pPr>
            <w:r>
              <w:rPr>
                <w:sz w:val="22"/>
                <w:lang w:val="nl-NL"/>
              </w:rPr>
              <w:t>- Như trên;</w:t>
            </w:r>
          </w:p>
          <w:p w:rsidR="005A23FF" w:rsidRDefault="005A23FF" w:rsidP="008461A6">
            <w:pPr>
              <w:spacing w:after="0" w:line="240" w:lineRule="auto"/>
              <w:rPr>
                <w:sz w:val="22"/>
                <w:lang w:val="nl-NL"/>
              </w:rPr>
            </w:pPr>
            <w:r>
              <w:rPr>
                <w:sz w:val="22"/>
                <w:lang w:val="nl-NL"/>
              </w:rPr>
              <w:lastRenderedPageBreak/>
              <w:t>- Thường trực Tỉnh ủy (báo cáo);</w:t>
            </w:r>
          </w:p>
          <w:p w:rsidR="005A23FF" w:rsidRDefault="005A23FF" w:rsidP="008461A6">
            <w:pPr>
              <w:spacing w:after="0" w:line="240" w:lineRule="auto"/>
              <w:rPr>
                <w:sz w:val="22"/>
                <w:lang w:val="nl-NL"/>
              </w:rPr>
            </w:pPr>
            <w:r>
              <w:rPr>
                <w:sz w:val="22"/>
                <w:lang w:val="nl-NL"/>
              </w:rPr>
              <w:t>- CT, PCT UBND tỉnh;</w:t>
            </w:r>
          </w:p>
          <w:p w:rsidR="005A23FF" w:rsidRDefault="005A23FF" w:rsidP="008461A6">
            <w:pPr>
              <w:spacing w:after="0" w:line="240" w:lineRule="auto"/>
              <w:rPr>
                <w:sz w:val="22"/>
                <w:lang w:val="nl-NL"/>
              </w:rPr>
            </w:pPr>
            <w:r>
              <w:rPr>
                <w:sz w:val="22"/>
                <w:lang w:val="nl-NL"/>
              </w:rPr>
              <w:t>- Các Sở: Tài chính, Tư pháp;</w:t>
            </w:r>
          </w:p>
          <w:p w:rsidR="005A23FF" w:rsidRDefault="005A23FF" w:rsidP="008461A6">
            <w:pPr>
              <w:spacing w:after="0" w:line="240" w:lineRule="auto"/>
              <w:rPr>
                <w:sz w:val="22"/>
                <w:lang w:val="nl-NL"/>
              </w:rPr>
            </w:pPr>
            <w:r>
              <w:rPr>
                <w:sz w:val="22"/>
                <w:lang w:val="nl-NL"/>
              </w:rPr>
              <w:t>- VPUB: CVP,</w:t>
            </w:r>
            <w:r>
              <w:rPr>
                <w:sz w:val="22"/>
              </w:rPr>
              <w:t xml:space="preserve"> </w:t>
            </w:r>
            <w:r>
              <w:rPr>
                <w:sz w:val="22"/>
                <w:lang w:val="nl-NL"/>
              </w:rPr>
              <w:t>PCVP,</w:t>
            </w:r>
            <w:r>
              <w:rPr>
                <w:sz w:val="22"/>
              </w:rPr>
              <w:t xml:space="preserve"> </w:t>
            </w:r>
            <w:r>
              <w:rPr>
                <w:sz w:val="22"/>
                <w:lang w:val="nl-NL"/>
              </w:rPr>
              <w:t>CBTH;</w:t>
            </w:r>
          </w:p>
          <w:p w:rsidR="005A23FF" w:rsidRDefault="005A23FF" w:rsidP="008461A6">
            <w:pPr>
              <w:spacing w:after="0" w:line="240" w:lineRule="auto"/>
              <w:rPr>
                <w:sz w:val="22"/>
                <w:lang w:val="nl-NL"/>
              </w:rPr>
            </w:pPr>
            <w:r>
              <w:rPr>
                <w:sz w:val="22"/>
                <w:lang w:val="nl-NL"/>
              </w:rPr>
              <w:t>- Lưu: VT, KTN</w:t>
            </w:r>
            <w:r>
              <w:rPr>
                <w:sz w:val="18"/>
                <w:szCs w:val="18"/>
                <w:lang w:val="nl-NL"/>
              </w:rPr>
              <w:t>.</w:t>
            </w:r>
          </w:p>
        </w:tc>
        <w:tc>
          <w:tcPr>
            <w:tcW w:w="612" w:type="dxa"/>
          </w:tcPr>
          <w:p w:rsidR="005A23FF" w:rsidRDefault="005A23FF" w:rsidP="008461A6">
            <w:pPr>
              <w:spacing w:after="0"/>
              <w:rPr>
                <w:lang w:val="nl-NL"/>
              </w:rPr>
            </w:pPr>
          </w:p>
        </w:tc>
        <w:tc>
          <w:tcPr>
            <w:tcW w:w="5014" w:type="dxa"/>
          </w:tcPr>
          <w:p w:rsidR="005A23FF" w:rsidRDefault="005A23FF" w:rsidP="008461A6">
            <w:pPr>
              <w:spacing w:after="0"/>
              <w:jc w:val="center"/>
              <w:rPr>
                <w:b/>
                <w:lang w:val="nl-NL"/>
              </w:rPr>
            </w:pPr>
            <w:r>
              <w:rPr>
                <w:b/>
                <w:lang w:val="nl-NL"/>
              </w:rPr>
              <w:t>CHỦ TỊCH</w:t>
            </w:r>
          </w:p>
          <w:p w:rsidR="005A23FF" w:rsidRDefault="005A23FF" w:rsidP="008461A6">
            <w:pPr>
              <w:spacing w:after="0"/>
              <w:jc w:val="center"/>
              <w:rPr>
                <w:lang w:val="nl-NL"/>
              </w:rPr>
            </w:pPr>
          </w:p>
          <w:p w:rsidR="005A23FF" w:rsidRDefault="005A23FF" w:rsidP="008461A6">
            <w:pPr>
              <w:spacing w:after="0"/>
              <w:jc w:val="center"/>
              <w:rPr>
                <w:lang w:val="nl-NL"/>
              </w:rPr>
            </w:pPr>
          </w:p>
          <w:p w:rsidR="005A23FF" w:rsidRPr="00CF4D4D" w:rsidRDefault="005A23FF" w:rsidP="008461A6">
            <w:pPr>
              <w:spacing w:after="0"/>
              <w:jc w:val="center"/>
              <w:rPr>
                <w:sz w:val="24"/>
                <w:lang w:val="nl-NL"/>
              </w:rPr>
            </w:pPr>
          </w:p>
          <w:p w:rsidR="005A23FF" w:rsidRPr="00CF4D4D" w:rsidRDefault="005A23FF" w:rsidP="008461A6">
            <w:pPr>
              <w:spacing w:after="0"/>
              <w:jc w:val="center"/>
              <w:rPr>
                <w:b/>
                <w:sz w:val="18"/>
                <w:lang w:val="nl-NL"/>
              </w:rPr>
            </w:pPr>
          </w:p>
          <w:p w:rsidR="005A23FF" w:rsidRDefault="005A23FF" w:rsidP="008461A6">
            <w:pPr>
              <w:spacing w:after="0"/>
              <w:jc w:val="center"/>
              <w:rPr>
                <w:b/>
                <w:lang w:val="nl-NL"/>
              </w:rPr>
            </w:pPr>
          </w:p>
        </w:tc>
      </w:tr>
    </w:tbl>
    <w:p w:rsidR="007B64CC" w:rsidRPr="00C81BEC" w:rsidRDefault="007B64CC" w:rsidP="005A23FF">
      <w:pPr>
        <w:spacing w:after="0"/>
        <w:rPr>
          <w:lang w:val="nl-NL"/>
        </w:rPr>
      </w:pPr>
    </w:p>
    <w:sectPr w:rsidR="007B64CC" w:rsidRPr="00C81BEC" w:rsidSect="009E30E4">
      <w:headerReference w:type="even" r:id="rId9"/>
      <w:headerReference w:type="default" r:id="rId10"/>
      <w:pgSz w:w="11907" w:h="16840" w:code="9"/>
      <w:pgMar w:top="1134" w:right="1134" w:bottom="1134" w:left="1701" w:header="624"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70A" w:rsidRDefault="00CA570A">
      <w:pPr>
        <w:spacing w:after="0" w:line="240" w:lineRule="auto"/>
      </w:pPr>
      <w:r>
        <w:separator/>
      </w:r>
    </w:p>
  </w:endnote>
  <w:endnote w:type="continuationSeparator" w:id="0">
    <w:p w:rsidR="00CA570A" w:rsidRDefault="00CA5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70A" w:rsidRDefault="00CA570A">
      <w:pPr>
        <w:spacing w:after="0" w:line="240" w:lineRule="auto"/>
      </w:pPr>
      <w:r>
        <w:separator/>
      </w:r>
    </w:p>
  </w:footnote>
  <w:footnote w:type="continuationSeparator" w:id="0">
    <w:p w:rsidR="00CA570A" w:rsidRDefault="00CA5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BEC" w:rsidRDefault="00C81BEC">
    <w:pPr>
      <w:pStyle w:val="Header"/>
    </w:pPr>
  </w:p>
  <w:p w:rsidR="00C81BEC" w:rsidRDefault="00C81BE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BEC" w:rsidRDefault="00C81BEC">
    <w:pPr>
      <w:pStyle w:val="Header"/>
      <w:jc w:val="center"/>
    </w:pPr>
    <w:r>
      <w:fldChar w:fldCharType="begin"/>
    </w:r>
    <w:r>
      <w:instrText xml:space="preserve"> PAGE   \* MERGEFORMAT </w:instrText>
    </w:r>
    <w:r>
      <w:fldChar w:fldCharType="separate"/>
    </w:r>
    <w:r w:rsidR="00923ECD" w:rsidRPr="00923ECD">
      <w:rPr>
        <w:noProof/>
        <w:lang w:val="en-GB" w:eastAsia="en-GB"/>
      </w:rPr>
      <w:t>4</w:t>
    </w:r>
    <w:r>
      <w:fldChar w:fldCharType="end"/>
    </w:r>
  </w:p>
  <w:p w:rsidR="00C81BEC" w:rsidRDefault="00C81BE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A92ACF"/>
    <w:multiLevelType w:val="hybridMultilevel"/>
    <w:tmpl w:val="C2F4BA28"/>
    <w:lvl w:ilvl="0" w:tplc="5CE0697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7444164"/>
    <w:multiLevelType w:val="hybridMultilevel"/>
    <w:tmpl w:val="91AACABC"/>
    <w:lvl w:ilvl="0" w:tplc="DFDEF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D7681C"/>
    <w:multiLevelType w:val="hybridMultilevel"/>
    <w:tmpl w:val="2916A2DC"/>
    <w:lvl w:ilvl="0" w:tplc="3BBC234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4CC"/>
    <w:rsid w:val="000608D1"/>
    <w:rsid w:val="00060A88"/>
    <w:rsid w:val="00063D57"/>
    <w:rsid w:val="00081F73"/>
    <w:rsid w:val="0008463B"/>
    <w:rsid w:val="00091271"/>
    <w:rsid w:val="000B197F"/>
    <w:rsid w:val="000F6A24"/>
    <w:rsid w:val="00101344"/>
    <w:rsid w:val="00126164"/>
    <w:rsid w:val="00145848"/>
    <w:rsid w:val="00152E04"/>
    <w:rsid w:val="00170483"/>
    <w:rsid w:val="001778DF"/>
    <w:rsid w:val="00180B64"/>
    <w:rsid w:val="0018104A"/>
    <w:rsid w:val="00190924"/>
    <w:rsid w:val="001A5242"/>
    <w:rsid w:val="001C7432"/>
    <w:rsid w:val="00211982"/>
    <w:rsid w:val="002621B2"/>
    <w:rsid w:val="00272FF6"/>
    <w:rsid w:val="002D24E4"/>
    <w:rsid w:val="00301674"/>
    <w:rsid w:val="00312495"/>
    <w:rsid w:val="00315F3F"/>
    <w:rsid w:val="00321A25"/>
    <w:rsid w:val="00322E6A"/>
    <w:rsid w:val="003934E5"/>
    <w:rsid w:val="003A095D"/>
    <w:rsid w:val="003A35E6"/>
    <w:rsid w:val="003B07E3"/>
    <w:rsid w:val="003B560F"/>
    <w:rsid w:val="003D5FE3"/>
    <w:rsid w:val="003E15E5"/>
    <w:rsid w:val="0041179D"/>
    <w:rsid w:val="00416C9E"/>
    <w:rsid w:val="004262D4"/>
    <w:rsid w:val="0046524E"/>
    <w:rsid w:val="004662A0"/>
    <w:rsid w:val="00486766"/>
    <w:rsid w:val="00487C37"/>
    <w:rsid w:val="004C3D1C"/>
    <w:rsid w:val="004D54CD"/>
    <w:rsid w:val="004F2D14"/>
    <w:rsid w:val="00545C71"/>
    <w:rsid w:val="00555061"/>
    <w:rsid w:val="005878CB"/>
    <w:rsid w:val="00593B28"/>
    <w:rsid w:val="005A23FF"/>
    <w:rsid w:val="005B5048"/>
    <w:rsid w:val="005C0185"/>
    <w:rsid w:val="005D5268"/>
    <w:rsid w:val="005E004F"/>
    <w:rsid w:val="005E55D4"/>
    <w:rsid w:val="005F3787"/>
    <w:rsid w:val="00612714"/>
    <w:rsid w:val="00614926"/>
    <w:rsid w:val="006210F9"/>
    <w:rsid w:val="00637E24"/>
    <w:rsid w:val="00652774"/>
    <w:rsid w:val="006530EE"/>
    <w:rsid w:val="00662001"/>
    <w:rsid w:val="006830B4"/>
    <w:rsid w:val="006B3D4C"/>
    <w:rsid w:val="006E1D58"/>
    <w:rsid w:val="006E588D"/>
    <w:rsid w:val="006E7D46"/>
    <w:rsid w:val="006F2E02"/>
    <w:rsid w:val="006F3740"/>
    <w:rsid w:val="006F3FA8"/>
    <w:rsid w:val="00705106"/>
    <w:rsid w:val="00705A58"/>
    <w:rsid w:val="00714B87"/>
    <w:rsid w:val="0072541C"/>
    <w:rsid w:val="00747B81"/>
    <w:rsid w:val="007512B4"/>
    <w:rsid w:val="007524C4"/>
    <w:rsid w:val="00791A5C"/>
    <w:rsid w:val="007A01FA"/>
    <w:rsid w:val="007B64CC"/>
    <w:rsid w:val="007B75D0"/>
    <w:rsid w:val="007C67AE"/>
    <w:rsid w:val="007E4BD5"/>
    <w:rsid w:val="007E59E8"/>
    <w:rsid w:val="007F0404"/>
    <w:rsid w:val="00800714"/>
    <w:rsid w:val="0082282F"/>
    <w:rsid w:val="008257ED"/>
    <w:rsid w:val="00831A3C"/>
    <w:rsid w:val="00832003"/>
    <w:rsid w:val="00834BA4"/>
    <w:rsid w:val="00853F78"/>
    <w:rsid w:val="008558C4"/>
    <w:rsid w:val="00856EDD"/>
    <w:rsid w:val="00874728"/>
    <w:rsid w:val="008A0313"/>
    <w:rsid w:val="008A2A77"/>
    <w:rsid w:val="008E2C4D"/>
    <w:rsid w:val="009004BE"/>
    <w:rsid w:val="0090364B"/>
    <w:rsid w:val="00923ECD"/>
    <w:rsid w:val="00941994"/>
    <w:rsid w:val="00942767"/>
    <w:rsid w:val="00943283"/>
    <w:rsid w:val="00950F79"/>
    <w:rsid w:val="009848DF"/>
    <w:rsid w:val="00986D2B"/>
    <w:rsid w:val="0099378A"/>
    <w:rsid w:val="009A603D"/>
    <w:rsid w:val="009B2A54"/>
    <w:rsid w:val="009B5E98"/>
    <w:rsid w:val="009C53B5"/>
    <w:rsid w:val="009D3671"/>
    <w:rsid w:val="009E30E4"/>
    <w:rsid w:val="009E33ED"/>
    <w:rsid w:val="00A3745B"/>
    <w:rsid w:val="00A5424D"/>
    <w:rsid w:val="00A8192C"/>
    <w:rsid w:val="00AA2072"/>
    <w:rsid w:val="00AC7FCB"/>
    <w:rsid w:val="00AD6021"/>
    <w:rsid w:val="00AE648E"/>
    <w:rsid w:val="00AF6F6F"/>
    <w:rsid w:val="00B007AD"/>
    <w:rsid w:val="00B05283"/>
    <w:rsid w:val="00B303D7"/>
    <w:rsid w:val="00B46FAC"/>
    <w:rsid w:val="00B529D2"/>
    <w:rsid w:val="00B62D70"/>
    <w:rsid w:val="00B65EE9"/>
    <w:rsid w:val="00B669FF"/>
    <w:rsid w:val="00B70116"/>
    <w:rsid w:val="00B71D83"/>
    <w:rsid w:val="00B820EC"/>
    <w:rsid w:val="00BA1DA1"/>
    <w:rsid w:val="00BB284C"/>
    <w:rsid w:val="00BD0170"/>
    <w:rsid w:val="00C17B08"/>
    <w:rsid w:val="00C2209A"/>
    <w:rsid w:val="00C418D5"/>
    <w:rsid w:val="00C47EAE"/>
    <w:rsid w:val="00C64B13"/>
    <w:rsid w:val="00C80A46"/>
    <w:rsid w:val="00C81BEC"/>
    <w:rsid w:val="00C82D31"/>
    <w:rsid w:val="00C93293"/>
    <w:rsid w:val="00C948FD"/>
    <w:rsid w:val="00C95798"/>
    <w:rsid w:val="00CA570A"/>
    <w:rsid w:val="00CD0331"/>
    <w:rsid w:val="00CE1FF4"/>
    <w:rsid w:val="00CE5D40"/>
    <w:rsid w:val="00CE6098"/>
    <w:rsid w:val="00D201C8"/>
    <w:rsid w:val="00D3702A"/>
    <w:rsid w:val="00D903BA"/>
    <w:rsid w:val="00D97120"/>
    <w:rsid w:val="00DA1FA6"/>
    <w:rsid w:val="00DA5597"/>
    <w:rsid w:val="00DC456D"/>
    <w:rsid w:val="00DC5A95"/>
    <w:rsid w:val="00DD1298"/>
    <w:rsid w:val="00E115CD"/>
    <w:rsid w:val="00E20F87"/>
    <w:rsid w:val="00E305F7"/>
    <w:rsid w:val="00E64066"/>
    <w:rsid w:val="00E728CB"/>
    <w:rsid w:val="00EB0BD6"/>
    <w:rsid w:val="00ED3BB2"/>
    <w:rsid w:val="00F02B9E"/>
    <w:rsid w:val="00F1489A"/>
    <w:rsid w:val="00F22558"/>
    <w:rsid w:val="00F316BC"/>
    <w:rsid w:val="00F6040F"/>
    <w:rsid w:val="00F85D6E"/>
    <w:rsid w:val="00F91212"/>
    <w:rsid w:val="00FA5FF8"/>
    <w:rsid w:val="00FB07BB"/>
    <w:rsid w:val="00FD38EF"/>
    <w:rsid w:val="00FE7DFB"/>
    <w:rsid w:val="00FF75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7D50"/>
  <w15:docId w15:val="{4805D7C8-234B-40A3-BC2B-8DB9557BC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4CC"/>
    <w:pPr>
      <w:spacing w:after="200" w:line="276" w:lineRule="auto"/>
    </w:pPr>
    <w:rPr>
      <w:rFonts w:eastAsia="Calibri"/>
      <w:sz w:val="28"/>
      <w:szCs w:val="22"/>
      <w:lang w:val="en-US" w:eastAsia="en-US"/>
    </w:rPr>
  </w:style>
  <w:style w:type="paragraph" w:styleId="Heading1">
    <w:name w:val="heading 1"/>
    <w:aliases w:val="BVI,RepHead1,Heading 1(Report Only),Chapter,Heading 1(Report Only)1,Chapter1,H1,Header1,Part,contents,h1 chapter heading,proj,proj1,proj5,proj6,proj7,proj8,proj9,proj10,proj11,proj12,proj13,proj14,proj15,proj51,proj61,proj71,proj81,proj91,P"/>
    <w:basedOn w:val="Normal"/>
    <w:next w:val="Normal"/>
    <w:link w:val="Heading1Char"/>
    <w:qFormat/>
    <w:rsid w:val="007B64CC"/>
    <w:pPr>
      <w:keepNext/>
      <w:spacing w:after="0" w:line="240" w:lineRule="auto"/>
      <w:jc w:val="center"/>
      <w:outlineLvl w:val="0"/>
    </w:pPr>
    <w:rPr>
      <w:rFonts w:ascii=".VnTimeH" w:eastAsia="Times New Roman" w:hAnsi=".VnTimeH"/>
      <w:b/>
      <w:sz w:val="20"/>
      <w:szCs w:val="20"/>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Heading 1(Report Only) Char,Chapter Char,Heading 1(Report Only)1 Char,Chapter1 Char,H1 Char,Header1 Char,Part Char,contents Char,h1 chapter heading Char,proj Char,proj1 Char,proj5 Char,proj6 Char,proj7 Char,P Char"/>
    <w:link w:val="Heading1"/>
    <w:rsid w:val="007B64CC"/>
    <w:rPr>
      <w:rFonts w:ascii=".VnTimeH" w:eastAsia="Times New Roman" w:hAnsi=".VnTimeH" w:cs="Times New Roman"/>
      <w:b/>
      <w:sz w:val="20"/>
      <w:szCs w:val="20"/>
      <w:lang w:val="fi-FI"/>
    </w:rPr>
  </w:style>
  <w:style w:type="paragraph" w:styleId="BodyText3">
    <w:name w:val="Body Text 3"/>
    <w:basedOn w:val="Normal"/>
    <w:link w:val="BodyText3Char"/>
    <w:rsid w:val="007B64CC"/>
    <w:pPr>
      <w:spacing w:after="0" w:line="240" w:lineRule="auto"/>
      <w:jc w:val="center"/>
    </w:pPr>
    <w:rPr>
      <w:rFonts w:ascii=".VnTime" w:eastAsia="Times New Roman" w:hAnsi=".VnTime"/>
      <w:b/>
      <w:sz w:val="20"/>
      <w:szCs w:val="24"/>
    </w:rPr>
  </w:style>
  <w:style w:type="character" w:customStyle="1" w:styleId="BodyText3Char">
    <w:name w:val="Body Text 3 Char"/>
    <w:link w:val="BodyText3"/>
    <w:rsid w:val="007B64CC"/>
    <w:rPr>
      <w:rFonts w:ascii=".VnTime" w:eastAsia="Times New Roman" w:hAnsi=".VnTime" w:cs="Times New Roman"/>
      <w:b/>
      <w:sz w:val="20"/>
      <w:szCs w:val="24"/>
    </w:rPr>
  </w:style>
  <w:style w:type="paragraph" w:styleId="Header">
    <w:name w:val="header"/>
    <w:basedOn w:val="Normal"/>
    <w:link w:val="HeaderChar"/>
    <w:uiPriority w:val="99"/>
    <w:unhideWhenUsed/>
    <w:rsid w:val="007B64CC"/>
    <w:pPr>
      <w:tabs>
        <w:tab w:val="center" w:pos="4680"/>
        <w:tab w:val="right" w:pos="9360"/>
      </w:tabs>
      <w:spacing w:after="0" w:line="240" w:lineRule="auto"/>
    </w:pPr>
  </w:style>
  <w:style w:type="character" w:customStyle="1" w:styleId="HeaderChar">
    <w:name w:val="Header Char"/>
    <w:link w:val="Header"/>
    <w:uiPriority w:val="99"/>
    <w:rsid w:val="007B64CC"/>
    <w:rPr>
      <w:rFonts w:eastAsia="Calibri" w:cs="Times New Roman"/>
      <w:lang w:val="en-US"/>
    </w:rPr>
  </w:style>
  <w:style w:type="character" w:customStyle="1" w:styleId="fontstyle01">
    <w:name w:val="fontstyle01"/>
    <w:rsid w:val="007B64CC"/>
    <w:rPr>
      <w:rFonts w:ascii="Times New Roman" w:hAnsi="Times New Roman" w:hint="default"/>
      <w:b w:val="0"/>
      <w:bCs w:val="0"/>
      <w:i w:val="0"/>
      <w:iCs w:val="0"/>
      <w:color w:val="000000"/>
      <w:sz w:val="28"/>
      <w:szCs w:val="28"/>
    </w:rPr>
  </w:style>
  <w:style w:type="paragraph" w:customStyle="1" w:styleId="nidungVB">
    <w:name w:val="nội dung VB"/>
    <w:basedOn w:val="Normal"/>
    <w:uiPriority w:val="99"/>
    <w:rsid w:val="007B64CC"/>
    <w:pPr>
      <w:widowControl w:val="0"/>
      <w:spacing w:after="120" w:line="400" w:lineRule="atLeast"/>
      <w:ind w:firstLine="567"/>
      <w:jc w:val="both"/>
    </w:pPr>
    <w:rPr>
      <w:szCs w:val="28"/>
    </w:rPr>
  </w:style>
  <w:style w:type="character" w:styleId="Hyperlink">
    <w:name w:val="Hyperlink"/>
    <w:rsid w:val="003934E5"/>
    <w:rPr>
      <w:rFonts w:ascii="Arial" w:hAnsi="Arial" w:cs="Arial"/>
      <w:color w:val="0000FF"/>
      <w:sz w:val="26"/>
      <w:szCs w:val="26"/>
      <w:u w:val="single"/>
      <w:lang w:val="en-US" w:eastAsia="en-US" w:bidi="ar-SA"/>
    </w:rPr>
  </w:style>
  <w:style w:type="paragraph" w:styleId="BodyText">
    <w:name w:val="Body Text"/>
    <w:basedOn w:val="Normal"/>
    <w:link w:val="BodyTextChar"/>
    <w:unhideWhenUsed/>
    <w:rsid w:val="00637E24"/>
    <w:pPr>
      <w:spacing w:after="120"/>
    </w:pPr>
  </w:style>
  <w:style w:type="character" w:customStyle="1" w:styleId="BodyTextChar">
    <w:name w:val="Body Text Char"/>
    <w:link w:val="BodyText"/>
    <w:rsid w:val="00637E24"/>
    <w:rPr>
      <w:rFonts w:eastAsia="Calibri"/>
      <w:sz w:val="28"/>
      <w:szCs w:val="22"/>
      <w:lang w:val="en-US" w:eastAsia="en-US"/>
    </w:rPr>
  </w:style>
  <w:style w:type="paragraph" w:styleId="NormalWeb">
    <w:name w:val="Normal (Web)"/>
    <w:aliases w:val="Normal (Web) Char"/>
    <w:basedOn w:val="Normal"/>
    <w:link w:val="NormalWebChar1"/>
    <w:uiPriority w:val="99"/>
    <w:unhideWhenUsed/>
    <w:rsid w:val="00637E24"/>
    <w:pPr>
      <w:spacing w:before="100" w:beforeAutospacing="1" w:after="100" w:afterAutospacing="1" w:line="240" w:lineRule="auto"/>
    </w:pPr>
    <w:rPr>
      <w:rFonts w:eastAsia="Times New Roman"/>
      <w:sz w:val="24"/>
      <w:szCs w:val="24"/>
    </w:rPr>
  </w:style>
  <w:style w:type="character" w:styleId="Strong">
    <w:name w:val="Strong"/>
    <w:uiPriority w:val="22"/>
    <w:qFormat/>
    <w:rsid w:val="00E64066"/>
    <w:rPr>
      <w:b/>
      <w:bCs/>
    </w:rPr>
  </w:style>
  <w:style w:type="character" w:customStyle="1" w:styleId="NormalWebChar1">
    <w:name w:val="Normal (Web) Char1"/>
    <w:aliases w:val="Normal (Web) Char Char"/>
    <w:link w:val="NormalWeb"/>
    <w:uiPriority w:val="99"/>
    <w:locked/>
    <w:rsid w:val="00E64066"/>
    <w:rPr>
      <w:rFonts w:eastAsia="Times New Roman"/>
      <w:sz w:val="24"/>
      <w:szCs w:val="24"/>
    </w:rPr>
  </w:style>
  <w:style w:type="character" w:styleId="Emphasis">
    <w:name w:val="Emphasis"/>
    <w:uiPriority w:val="20"/>
    <w:qFormat/>
    <w:rsid w:val="008257ED"/>
    <w:rPr>
      <w:i/>
      <w:iCs/>
    </w:rPr>
  </w:style>
  <w:style w:type="table" w:styleId="TableGrid">
    <w:name w:val="Table Grid"/>
    <w:basedOn w:val="TableNormal"/>
    <w:uiPriority w:val="59"/>
    <w:rsid w:val="007F0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91271"/>
    <w:rPr>
      <w:rFonts w:eastAsia="Calibri"/>
      <w:sz w:val="28"/>
      <w:szCs w:val="22"/>
      <w:lang w:val="en-US" w:eastAsia="en-US"/>
    </w:rPr>
  </w:style>
  <w:style w:type="paragraph" w:customStyle="1" w:styleId="5">
    <w:name w:val="5"/>
    <w:basedOn w:val="Normal"/>
    <w:qFormat/>
    <w:rsid w:val="0041179D"/>
    <w:pPr>
      <w:spacing w:before="120" w:after="120" w:line="240" w:lineRule="auto"/>
      <w:jc w:val="both"/>
    </w:pPr>
    <w:rPr>
      <w:rFonts w:eastAsia="Times New Roman"/>
      <w:bCs/>
      <w:i/>
      <w:color w:val="000000"/>
      <w:szCs w:val="28"/>
    </w:rPr>
  </w:style>
  <w:style w:type="character" w:customStyle="1" w:styleId="apple-converted-space">
    <w:name w:val="apple-converted-space"/>
    <w:basedOn w:val="DefaultParagraphFont"/>
    <w:rsid w:val="00555061"/>
  </w:style>
  <w:style w:type="paragraph" w:styleId="FootnoteText">
    <w:name w:val="footnote text"/>
    <w:basedOn w:val="Normal"/>
    <w:link w:val="FootnoteTextChar"/>
    <w:semiHidden/>
    <w:unhideWhenUsed/>
    <w:rsid w:val="00126164"/>
    <w:pPr>
      <w:spacing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126164"/>
    <w:rPr>
      <w:rFonts w:eastAsia="Times New Roman"/>
      <w:lang w:val="en-US" w:eastAsia="en-US"/>
    </w:rPr>
  </w:style>
  <w:style w:type="character" w:styleId="FootnoteReference">
    <w:name w:val="footnote reference"/>
    <w:basedOn w:val="DefaultParagraphFont"/>
    <w:semiHidden/>
    <w:unhideWhenUsed/>
    <w:rsid w:val="00126164"/>
    <w:rPr>
      <w:vertAlign w:val="superscript"/>
    </w:rPr>
  </w:style>
  <w:style w:type="paragraph" w:styleId="ListParagraph">
    <w:name w:val="List Paragraph"/>
    <w:basedOn w:val="Normal"/>
    <w:uiPriority w:val="34"/>
    <w:qFormat/>
    <w:rsid w:val="00614926"/>
    <w:pPr>
      <w:ind w:left="720"/>
      <w:contextualSpacing/>
    </w:pPr>
  </w:style>
  <w:style w:type="character" w:customStyle="1" w:styleId="Bodytext0">
    <w:name w:val="Body text_"/>
    <w:link w:val="Bodytext1"/>
    <w:locked/>
    <w:rsid w:val="00614926"/>
    <w:rPr>
      <w:sz w:val="29"/>
      <w:szCs w:val="29"/>
      <w:shd w:val="clear" w:color="auto" w:fill="FFFFFF"/>
    </w:rPr>
  </w:style>
  <w:style w:type="paragraph" w:customStyle="1" w:styleId="Bodytext1">
    <w:name w:val="Body text1"/>
    <w:basedOn w:val="Normal"/>
    <w:link w:val="Bodytext0"/>
    <w:rsid w:val="00614926"/>
    <w:pPr>
      <w:widowControl w:val="0"/>
      <w:shd w:val="clear" w:color="auto" w:fill="FFFFFF"/>
      <w:spacing w:after="0" w:line="240" w:lineRule="atLeast"/>
      <w:jc w:val="both"/>
    </w:pPr>
    <w:rPr>
      <w:rFonts w:eastAsia="Arial"/>
      <w:sz w:val="29"/>
      <w:szCs w:val="29"/>
      <w:lang w:val="en-GB" w:eastAsia="en-GB"/>
    </w:rPr>
  </w:style>
  <w:style w:type="paragraph" w:styleId="BalloonText">
    <w:name w:val="Balloon Text"/>
    <w:basedOn w:val="Normal"/>
    <w:link w:val="BalloonTextChar"/>
    <w:uiPriority w:val="99"/>
    <w:semiHidden/>
    <w:unhideWhenUsed/>
    <w:rsid w:val="001A52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242"/>
    <w:rPr>
      <w:rFonts w:ascii="Segoe UI" w:eastAsia="Calibr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6217">
      <w:bodyDiv w:val="1"/>
      <w:marLeft w:val="0"/>
      <w:marRight w:val="0"/>
      <w:marTop w:val="0"/>
      <w:marBottom w:val="0"/>
      <w:divBdr>
        <w:top w:val="none" w:sz="0" w:space="0" w:color="auto"/>
        <w:left w:val="none" w:sz="0" w:space="0" w:color="auto"/>
        <w:bottom w:val="none" w:sz="0" w:space="0" w:color="auto"/>
        <w:right w:val="none" w:sz="0" w:space="0" w:color="auto"/>
      </w:divBdr>
    </w:div>
    <w:div w:id="180437366">
      <w:bodyDiv w:val="1"/>
      <w:marLeft w:val="0"/>
      <w:marRight w:val="0"/>
      <w:marTop w:val="0"/>
      <w:marBottom w:val="0"/>
      <w:divBdr>
        <w:top w:val="none" w:sz="0" w:space="0" w:color="auto"/>
        <w:left w:val="none" w:sz="0" w:space="0" w:color="auto"/>
        <w:bottom w:val="none" w:sz="0" w:space="0" w:color="auto"/>
        <w:right w:val="none" w:sz="0" w:space="0" w:color="auto"/>
      </w:divBdr>
    </w:div>
    <w:div w:id="616638925">
      <w:bodyDiv w:val="1"/>
      <w:marLeft w:val="0"/>
      <w:marRight w:val="0"/>
      <w:marTop w:val="0"/>
      <w:marBottom w:val="0"/>
      <w:divBdr>
        <w:top w:val="none" w:sz="0" w:space="0" w:color="auto"/>
        <w:left w:val="none" w:sz="0" w:space="0" w:color="auto"/>
        <w:bottom w:val="none" w:sz="0" w:space="0" w:color="auto"/>
        <w:right w:val="none" w:sz="0" w:space="0" w:color="auto"/>
      </w:divBdr>
    </w:div>
    <w:div w:id="874122226">
      <w:bodyDiv w:val="1"/>
      <w:marLeft w:val="0"/>
      <w:marRight w:val="0"/>
      <w:marTop w:val="0"/>
      <w:marBottom w:val="0"/>
      <w:divBdr>
        <w:top w:val="none" w:sz="0" w:space="0" w:color="auto"/>
        <w:left w:val="none" w:sz="0" w:space="0" w:color="auto"/>
        <w:bottom w:val="none" w:sz="0" w:space="0" w:color="auto"/>
        <w:right w:val="none" w:sz="0" w:space="0" w:color="auto"/>
      </w:divBdr>
    </w:div>
    <w:div w:id="1211957624">
      <w:bodyDiv w:val="1"/>
      <w:marLeft w:val="0"/>
      <w:marRight w:val="0"/>
      <w:marTop w:val="0"/>
      <w:marBottom w:val="0"/>
      <w:divBdr>
        <w:top w:val="none" w:sz="0" w:space="0" w:color="auto"/>
        <w:left w:val="none" w:sz="0" w:space="0" w:color="auto"/>
        <w:bottom w:val="none" w:sz="0" w:space="0" w:color="auto"/>
        <w:right w:val="none" w:sz="0" w:space="0" w:color="auto"/>
      </w:divBdr>
    </w:div>
    <w:div w:id="169515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ue-Phi-Le-Phi/Luat-sua-doi-Luat-Chung-khoan-Ke-toan-Ngan-sach-Nha-nuoc-Thue-thu-nhap-ca-nhan-2024-622318.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EDF1-8A05-41A6-8D10-7644B74E1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BAN QUYEN 21AK22.COM</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Quach T. Long</cp:lastModifiedBy>
  <cp:revision>31</cp:revision>
  <cp:lastPrinted>2025-09-12T04:22:00Z</cp:lastPrinted>
  <dcterms:created xsi:type="dcterms:W3CDTF">2025-09-12T01:53:00Z</dcterms:created>
  <dcterms:modified xsi:type="dcterms:W3CDTF">2025-10-16T00:52:00Z</dcterms:modified>
</cp:coreProperties>
</file>